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51BA6" w14:textId="188466D4" w:rsidR="00910F2F" w:rsidRPr="00062030" w:rsidRDefault="00910F2F" w:rsidP="00910F2F">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w:t>
      </w:r>
      <w:r>
        <w:rPr>
          <w:rFonts w:cs="Arial"/>
          <w:sz w:val="24"/>
          <w:szCs w:val="24"/>
        </w:rPr>
        <w:t>7</w:t>
      </w:r>
      <w:r w:rsidRPr="00062030">
        <w:rPr>
          <w:rFonts w:cs="Arial"/>
          <w:sz w:val="24"/>
          <w:szCs w:val="24"/>
        </w:rPr>
        <w:tab/>
      </w:r>
      <w:r w:rsidRPr="00062030">
        <w:rPr>
          <w:rFonts w:cs="Arial"/>
          <w:sz w:val="24"/>
          <w:szCs w:val="24"/>
        </w:rPr>
        <w:tab/>
      </w:r>
      <w:r w:rsidR="00861526" w:rsidRPr="00861526">
        <w:rPr>
          <w:rFonts w:cs="Arial"/>
          <w:sz w:val="24"/>
          <w:szCs w:val="24"/>
        </w:rPr>
        <w:t>R4-2307329</w:t>
      </w:r>
    </w:p>
    <w:p w14:paraId="2DA294AF" w14:textId="77777777" w:rsidR="00910F2F" w:rsidRPr="00062030" w:rsidRDefault="00910F2F" w:rsidP="00910F2F">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Incheon, Korea</w:t>
      </w:r>
      <w:r w:rsidRPr="00062030">
        <w:rPr>
          <w:rFonts w:eastAsia="SimSun" w:cs="Arial"/>
          <w:sz w:val="24"/>
          <w:szCs w:val="24"/>
        </w:rPr>
        <w:t xml:space="preserve">, </w:t>
      </w:r>
      <w:r>
        <w:rPr>
          <w:rFonts w:eastAsia="SimSun" w:cs="Arial"/>
          <w:sz w:val="24"/>
          <w:szCs w:val="24"/>
        </w:rPr>
        <w:t>May</w:t>
      </w:r>
      <w:r w:rsidRPr="00062030">
        <w:rPr>
          <w:rFonts w:eastAsia="SimSun" w:cs="Arial"/>
          <w:sz w:val="24"/>
          <w:szCs w:val="24"/>
        </w:rPr>
        <w:t xml:space="preserve"> </w:t>
      </w:r>
      <w:r>
        <w:rPr>
          <w:rFonts w:eastAsia="SimSun" w:cs="Arial"/>
          <w:sz w:val="24"/>
          <w:szCs w:val="24"/>
        </w:rPr>
        <w:t>22</w:t>
      </w:r>
      <w:r w:rsidRPr="00062030">
        <w:rPr>
          <w:rFonts w:eastAsia="SimSun" w:cs="Arial"/>
          <w:sz w:val="24"/>
          <w:szCs w:val="24"/>
        </w:rPr>
        <w:t xml:space="preserve"> – </w:t>
      </w:r>
      <w:r>
        <w:rPr>
          <w:rFonts w:eastAsia="SimSun" w:cs="Arial"/>
          <w:sz w:val="24"/>
          <w:szCs w:val="24"/>
        </w:rPr>
        <w:t>May</w:t>
      </w:r>
      <w:r w:rsidRPr="00062030">
        <w:rPr>
          <w:rFonts w:eastAsia="SimSun" w:cs="Arial"/>
          <w:sz w:val="24"/>
          <w:szCs w:val="24"/>
        </w:rPr>
        <w:t xml:space="preserve">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AC3FE1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861526">
        <w:rPr>
          <w:rFonts w:ascii="Arial" w:hAnsi="Arial" w:cs="Arial"/>
          <w:b/>
          <w:sz w:val="22"/>
          <w:szCs w:val="22"/>
        </w:rPr>
        <w:t>5.2.8.4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4D9A96C"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10F2F" w:rsidRPr="00910F2F">
        <w:rPr>
          <w:rFonts w:ascii="Arial" w:hAnsi="Arial" w:cs="Arial"/>
          <w:b/>
          <w:sz w:val="22"/>
          <w:szCs w:val="22"/>
        </w:rPr>
        <w:t>On remaining issues for R17 NTN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1246C6DE" w:rsidR="0085538E" w:rsidRPr="003F05AE" w:rsidRDefault="006B510B" w:rsidP="003F05AE">
      <w:pPr>
        <w:jc w:val="both"/>
        <w:rPr>
          <w:sz w:val="20"/>
          <w:szCs w:val="20"/>
        </w:rPr>
      </w:pPr>
      <w:r>
        <w:t>In RAN4 #10</w:t>
      </w:r>
      <w:r w:rsidR="00910F2F">
        <w:t>6</w:t>
      </w:r>
      <w:r w:rsidR="00651EA5">
        <w:t xml:space="preserve"> </w:t>
      </w:r>
      <w:r>
        <w:t xml:space="preserve">meeting, the </w:t>
      </w:r>
      <w:proofErr w:type="gramStart"/>
      <w:r>
        <w:t>WF[</w:t>
      </w:r>
      <w:proofErr w:type="gramEnd"/>
      <w:r>
        <w:t xml:space="preserve">1] for </w:t>
      </w:r>
      <w:r w:rsidR="008950B4">
        <w:t>NTN RRM</w:t>
      </w:r>
      <w:r w:rsidR="004E28FF" w:rsidRPr="004E28FF">
        <w:t xml:space="preserve"> </w:t>
      </w:r>
      <w:r>
        <w:t>was agreed, but there are still some open issues</w:t>
      </w:r>
      <w:r w:rsidR="008950B4">
        <w:t xml:space="preserve"> </w:t>
      </w:r>
      <w:r w:rsidR="008950B4" w:rsidRPr="00AC7F78">
        <w:t>not fully addressed</w:t>
      </w:r>
      <w:r w:rsidRPr="00AC7F78">
        <w:t xml:space="preserve"> as followings,</w:t>
      </w:r>
    </w:p>
    <w:tbl>
      <w:tblPr>
        <w:tblStyle w:val="TableGrid"/>
        <w:tblW w:w="0" w:type="auto"/>
        <w:tblLook w:val="04A0" w:firstRow="1" w:lastRow="0" w:firstColumn="1" w:lastColumn="0" w:noHBand="0" w:noVBand="1"/>
      </w:tblPr>
      <w:tblGrid>
        <w:gridCol w:w="9629"/>
      </w:tblGrid>
      <w:tr w:rsidR="0085538E" w:rsidRPr="003F05AE" w14:paraId="060D474D" w14:textId="77777777" w:rsidTr="0085538E">
        <w:tc>
          <w:tcPr>
            <w:tcW w:w="9629" w:type="dxa"/>
          </w:tcPr>
          <w:p w14:paraId="1E461CD8" w14:textId="77777777" w:rsidR="00910F2F" w:rsidRPr="0098234C" w:rsidRDefault="00910F2F" w:rsidP="00910F2F">
            <w:pPr>
              <w:pStyle w:val="Heading2"/>
              <w:spacing w:before="0" w:after="0"/>
              <w:rPr>
                <w:rFonts w:ascii="Times New Roman" w:hAnsi="Times New Roman"/>
                <w:sz w:val="20"/>
                <w:u w:val="single"/>
              </w:rPr>
            </w:pPr>
            <w:r w:rsidRPr="0098234C">
              <w:rPr>
                <w:rFonts w:ascii="Times New Roman" w:hAnsi="Times New Roman"/>
                <w:sz w:val="20"/>
                <w:u w:val="single"/>
              </w:rPr>
              <w:t>Issue 1-6: Parallel measurement capability.</w:t>
            </w:r>
          </w:p>
          <w:p w14:paraId="02CD3F72" w14:textId="77777777" w:rsidR="00910F2F" w:rsidRPr="0077517F" w:rsidRDefault="00910F2F" w:rsidP="00910F2F">
            <w:pPr>
              <w:pStyle w:val="ListParagraph"/>
              <w:widowControl/>
              <w:numPr>
                <w:ilvl w:val="0"/>
                <w:numId w:val="27"/>
              </w:numPr>
              <w:spacing w:after="0" w:line="240" w:lineRule="auto"/>
              <w:ind w:left="936" w:firstLineChars="0"/>
              <w:rPr>
                <w:sz w:val="20"/>
                <w:szCs w:val="20"/>
              </w:rPr>
            </w:pPr>
            <w:r w:rsidRPr="0077517F">
              <w:rPr>
                <w:sz w:val="20"/>
                <w:szCs w:val="20"/>
              </w:rPr>
              <w:t>FFS:</w:t>
            </w:r>
          </w:p>
          <w:p w14:paraId="1707BC01" w14:textId="77777777" w:rsidR="00910F2F" w:rsidRPr="0098234C" w:rsidRDefault="00910F2F" w:rsidP="00910F2F">
            <w:pPr>
              <w:pStyle w:val="ListParagraph"/>
              <w:widowControl/>
              <w:numPr>
                <w:ilvl w:val="1"/>
                <w:numId w:val="27"/>
              </w:numPr>
              <w:spacing w:after="0" w:line="240" w:lineRule="auto"/>
              <w:ind w:firstLineChars="0"/>
              <w:rPr>
                <w:sz w:val="20"/>
                <w:szCs w:val="20"/>
              </w:rPr>
            </w:pPr>
            <w:r w:rsidRPr="0098234C">
              <w:rPr>
                <w:sz w:val="20"/>
                <w:szCs w:val="20"/>
              </w:rPr>
              <w:t>It shall be clarified that which feature between 25-2 and 25-5 defines parallel L3 measurements on serving cell and intra-frequency cells.</w:t>
            </w:r>
          </w:p>
          <w:p w14:paraId="1EC41FB3" w14:textId="77777777" w:rsidR="00910F2F" w:rsidRPr="006675B0" w:rsidRDefault="00910F2F" w:rsidP="00910F2F">
            <w:pPr>
              <w:pStyle w:val="ListParagraph"/>
              <w:widowControl/>
              <w:numPr>
                <w:ilvl w:val="1"/>
                <w:numId w:val="27"/>
              </w:numPr>
              <w:spacing w:after="0" w:line="240" w:lineRule="auto"/>
              <w:ind w:firstLineChars="0"/>
              <w:rPr>
                <w:sz w:val="20"/>
                <w:szCs w:val="20"/>
              </w:rPr>
            </w:pPr>
            <w:r w:rsidRPr="0098234C">
              <w:rPr>
                <w:sz w:val="20"/>
                <w:szCs w:val="20"/>
              </w:rPr>
              <w:t xml:space="preserve">In case that UE doesn’t support parallel L3 measurements on serving cell and intra-frequency cells, for time-critical neighbor cell measurement requirements, we suggest to skip serving cell measurements since cell change is inevitable in very short time and the update doesn’t impact existing </w:t>
            </w:r>
            <w:proofErr w:type="spellStart"/>
            <w:r w:rsidRPr="0098234C">
              <w:rPr>
                <w:sz w:val="20"/>
                <w:szCs w:val="20"/>
              </w:rPr>
              <w:t>Ttrigger</w:t>
            </w:r>
            <w:proofErr w:type="spellEnd"/>
            <w:r w:rsidRPr="0098234C">
              <w:rPr>
                <w:sz w:val="20"/>
                <w:szCs w:val="20"/>
              </w:rPr>
              <w:t xml:space="preserve"> definition.</w:t>
            </w:r>
          </w:p>
          <w:p w14:paraId="6D138AF1" w14:textId="77777777" w:rsidR="00910F2F" w:rsidRPr="0098234C" w:rsidRDefault="00910F2F" w:rsidP="00910F2F">
            <w:pPr>
              <w:pStyle w:val="Heading2"/>
              <w:spacing w:before="0" w:after="0"/>
              <w:rPr>
                <w:rFonts w:ascii="Times New Roman" w:hAnsi="Times New Roman"/>
                <w:sz w:val="20"/>
                <w:u w:val="single"/>
              </w:rPr>
            </w:pPr>
            <w:r w:rsidRPr="0098234C">
              <w:rPr>
                <w:rFonts w:ascii="Times New Roman" w:hAnsi="Times New Roman"/>
                <w:sz w:val="20"/>
                <w:u w:val="single"/>
              </w:rPr>
              <w:t>Issue 1-7: The definition of overlapping SMTCs for cell reselection.</w:t>
            </w:r>
          </w:p>
          <w:p w14:paraId="21C63C9C" w14:textId="77777777" w:rsidR="00910F2F" w:rsidRPr="0077517F" w:rsidRDefault="00910F2F" w:rsidP="00910F2F">
            <w:pPr>
              <w:pStyle w:val="ListParagraph"/>
              <w:widowControl/>
              <w:numPr>
                <w:ilvl w:val="0"/>
                <w:numId w:val="27"/>
              </w:numPr>
              <w:spacing w:after="0" w:line="240" w:lineRule="auto"/>
              <w:ind w:left="936" w:firstLineChars="0"/>
              <w:rPr>
                <w:sz w:val="20"/>
                <w:szCs w:val="20"/>
              </w:rPr>
            </w:pPr>
            <w:r w:rsidRPr="0077517F">
              <w:rPr>
                <w:sz w:val="20"/>
                <w:szCs w:val="20"/>
              </w:rPr>
              <w:t>FFS:</w:t>
            </w:r>
          </w:p>
          <w:p w14:paraId="4D0FE64B" w14:textId="77777777" w:rsidR="00910F2F" w:rsidRPr="0098234C" w:rsidRDefault="00910F2F" w:rsidP="00910F2F">
            <w:pPr>
              <w:pStyle w:val="ListParagraph"/>
              <w:widowControl/>
              <w:numPr>
                <w:ilvl w:val="1"/>
                <w:numId w:val="27"/>
              </w:numPr>
              <w:spacing w:after="0" w:line="240" w:lineRule="auto"/>
              <w:ind w:firstLineChars="0"/>
              <w:rPr>
                <w:sz w:val="20"/>
                <w:szCs w:val="20"/>
              </w:rPr>
            </w:pPr>
            <w:r w:rsidRPr="0098234C">
              <w:rPr>
                <w:sz w:val="20"/>
                <w:szCs w:val="20"/>
              </w:rPr>
              <w:t>RAN4 to discuss and refine the definition of overlapping SMTCs for cell reselection, considering:</w:t>
            </w:r>
          </w:p>
          <w:p w14:paraId="760298DE" w14:textId="77777777" w:rsidR="00910F2F" w:rsidRPr="0098234C" w:rsidRDefault="00910F2F" w:rsidP="00910F2F">
            <w:pPr>
              <w:pStyle w:val="ListParagraph"/>
              <w:widowControl/>
              <w:numPr>
                <w:ilvl w:val="2"/>
                <w:numId w:val="27"/>
              </w:numPr>
              <w:spacing w:after="0" w:line="240" w:lineRule="auto"/>
              <w:ind w:firstLineChars="0"/>
              <w:rPr>
                <w:sz w:val="20"/>
                <w:szCs w:val="20"/>
              </w:rPr>
            </w:pPr>
            <w:r w:rsidRPr="0098234C">
              <w:rPr>
                <w:sz w:val="20"/>
                <w:szCs w:val="20"/>
              </w:rPr>
              <w:t xml:space="preserve">NTN UEs are capable to adjust dynamically the configured offset for different satellites based on the propagation delay difference. </w:t>
            </w:r>
          </w:p>
          <w:p w14:paraId="23AB84AB" w14:textId="18CA7B43" w:rsidR="0085538E" w:rsidRPr="00910F2F" w:rsidRDefault="00910F2F" w:rsidP="00910F2F">
            <w:pPr>
              <w:pStyle w:val="ListParagraph"/>
              <w:widowControl/>
              <w:numPr>
                <w:ilvl w:val="2"/>
                <w:numId w:val="27"/>
              </w:numPr>
              <w:spacing w:after="0" w:line="240" w:lineRule="auto"/>
              <w:ind w:firstLineChars="0"/>
              <w:rPr>
                <w:sz w:val="20"/>
                <w:szCs w:val="20"/>
              </w:rPr>
            </w:pPr>
            <w:r w:rsidRPr="0098234C">
              <w:rPr>
                <w:sz w:val="20"/>
                <w:szCs w:val="20"/>
              </w:rPr>
              <w:t>Two different SMTCs configuration, with same periodicity, configured for different satellites, might see some occasions that overlap while others that do not overlap.</w:t>
            </w:r>
          </w:p>
        </w:tc>
      </w:tr>
    </w:tbl>
    <w:p w14:paraId="457FA5A6" w14:textId="6F937FBE" w:rsidR="00A74337" w:rsidRDefault="008F6ECB" w:rsidP="00DC740E">
      <w:pPr>
        <w:spacing w:after="120"/>
        <w:jc w:val="both"/>
      </w:pPr>
      <w:r>
        <w:t xml:space="preserve">In this contribution, we discuss the above </w:t>
      </w:r>
      <w:r w:rsidR="009901C2">
        <w:t xml:space="preserve">open </w:t>
      </w:r>
      <w:r>
        <w:t>issues</w:t>
      </w:r>
      <w:r w:rsidR="00AC7F78">
        <w:t xml:space="preserve"> </w:t>
      </w:r>
      <w:r w:rsidR="00910F2F">
        <w:t>from RAN4#106 meeting</w:t>
      </w:r>
      <w:r>
        <w:t>.</w:t>
      </w:r>
    </w:p>
    <w:p w14:paraId="5A6A2CC4" w14:textId="5AA1E672" w:rsidR="00A02CA5" w:rsidRDefault="00294180" w:rsidP="00A02CA5">
      <w:pPr>
        <w:pStyle w:val="Heading1"/>
        <w:numPr>
          <w:ilvl w:val="0"/>
          <w:numId w:val="10"/>
        </w:numPr>
        <w:pBdr>
          <w:top w:val="single" w:sz="12" w:space="2" w:color="auto"/>
        </w:pBdr>
        <w:jc w:val="both"/>
        <w:rPr>
          <w:sz w:val="32"/>
        </w:rPr>
      </w:pPr>
      <w:r>
        <w:rPr>
          <w:sz w:val="32"/>
        </w:rPr>
        <w:t xml:space="preserve">Discussion </w:t>
      </w:r>
    </w:p>
    <w:p w14:paraId="47692703" w14:textId="4A4DD049" w:rsidR="008D1FE1" w:rsidRPr="00751C78" w:rsidRDefault="008D1FE1" w:rsidP="008D1FE1">
      <w:pPr>
        <w:rPr>
          <w:b/>
          <w:bCs/>
          <w:u w:val="single"/>
          <w:lang w:val="en-GB" w:eastAsia="x-none"/>
        </w:rPr>
      </w:pPr>
      <w:r w:rsidRPr="008D1FE1">
        <w:rPr>
          <w:b/>
          <w:bCs/>
          <w:u w:val="single"/>
          <w:lang w:val="en-GB" w:eastAsia="x-none"/>
        </w:rPr>
        <w:t>Issue 1-6: Parallel measurement capability.</w:t>
      </w:r>
    </w:p>
    <w:p w14:paraId="76A332AE" w14:textId="1CE10F9A" w:rsidR="00376575" w:rsidRPr="008D1FE1" w:rsidRDefault="009901C2" w:rsidP="008D1FE1">
      <w:r w:rsidRPr="008D1FE1">
        <w:t>I</w:t>
      </w:r>
      <w:r w:rsidR="00910F2F" w:rsidRPr="008D1FE1">
        <w:t xml:space="preserve">n the R17 feature list, </w:t>
      </w:r>
      <w:r w:rsidR="0093210B" w:rsidRPr="008D1FE1">
        <w:t xml:space="preserve">the FG25-2 and </w:t>
      </w:r>
      <w:r w:rsidR="009842DA" w:rsidRPr="008D1FE1">
        <w:t>FG</w:t>
      </w:r>
      <w:r w:rsidR="0093210B" w:rsidRPr="008D1FE1">
        <w:t>25-5 was defined as followings:</w:t>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751"/>
        <w:gridCol w:w="2177"/>
        <w:gridCol w:w="5186"/>
      </w:tblGrid>
      <w:tr w:rsidR="0093210B" w:rsidRPr="002E5DD0" w14:paraId="736ED651" w14:textId="77777777" w:rsidTr="0093210B">
        <w:trPr>
          <w:trHeight w:val="1973"/>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DCC1BCE" w14:textId="77777777" w:rsidR="0093210B" w:rsidRDefault="0093210B" w:rsidP="0093210B">
            <w:pPr>
              <w:snapToGrid w:val="0"/>
              <w:spacing w:afterLines="50" w:after="120"/>
              <w:contextualSpacing/>
              <w:rPr>
                <w:rFonts w:ascii="Arial" w:eastAsia="SimSun" w:hAnsi="Arial" w:cs="Arial"/>
                <w:color w:val="000000"/>
                <w:sz w:val="18"/>
              </w:rPr>
            </w:pPr>
            <w:r>
              <w:rPr>
                <w:rFonts w:ascii="Arial" w:eastAsia="SimSun" w:hAnsi="Arial" w:cs="Arial"/>
                <w:color w:val="000000"/>
                <w:sz w:val="18"/>
              </w:rPr>
              <w:t>25.</w:t>
            </w:r>
          </w:p>
          <w:p w14:paraId="3A537279" w14:textId="77777777" w:rsidR="0093210B" w:rsidRPr="00FA5F98" w:rsidRDefault="0093210B" w:rsidP="0093210B">
            <w:pPr>
              <w:snapToGrid w:val="0"/>
              <w:spacing w:afterLines="50" w:after="120"/>
              <w:contextualSpacing/>
              <w:rPr>
                <w:rFonts w:ascii="Arial" w:eastAsia="SimSun" w:hAnsi="Arial" w:cs="Arial"/>
                <w:color w:val="000000"/>
                <w:sz w:val="18"/>
              </w:rPr>
            </w:pPr>
            <w:proofErr w:type="spellStart"/>
            <w:r w:rsidRPr="00607ED2">
              <w:rPr>
                <w:rFonts w:ascii="Arial" w:eastAsia="SimSun" w:hAnsi="Arial" w:cs="Arial"/>
                <w:color w:val="000000"/>
                <w:sz w:val="18"/>
              </w:rPr>
              <w:t>NR_</w:t>
            </w:r>
            <w:r>
              <w:rPr>
                <w:rFonts w:ascii="Arial" w:eastAsia="SimSun" w:hAnsi="Arial" w:cs="Arial"/>
                <w:color w:val="000000"/>
                <w:sz w:val="18"/>
              </w:rPr>
              <w:t>NTN_solutions</w:t>
            </w:r>
            <w:proofErr w:type="spellEnd"/>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E5B4E1F" w14:textId="77777777" w:rsidR="0093210B" w:rsidRPr="00FA5F98" w:rsidRDefault="0093210B" w:rsidP="0093210B">
            <w:pPr>
              <w:snapToGrid w:val="0"/>
              <w:spacing w:afterLines="50" w:after="120"/>
              <w:contextualSpacing/>
              <w:rPr>
                <w:rFonts w:ascii="Arial" w:eastAsia="SimSun" w:hAnsi="Arial" w:cs="Arial"/>
                <w:color w:val="000000"/>
                <w:sz w:val="18"/>
              </w:rPr>
            </w:pPr>
            <w:r>
              <w:rPr>
                <w:rFonts w:ascii="Arial" w:eastAsia="SimSun" w:hAnsi="Arial" w:cs="Arial"/>
                <w:color w:val="000000"/>
                <w:sz w:val="18"/>
              </w:rPr>
              <w:t>25</w:t>
            </w:r>
            <w:r w:rsidRPr="00607ED2">
              <w:rPr>
                <w:rFonts w:ascii="Arial" w:eastAsia="SimSun" w:hAnsi="Arial" w:cs="Arial"/>
                <w:color w:val="000000"/>
                <w:sz w:val="18"/>
              </w:rPr>
              <w:t>-</w:t>
            </w:r>
            <w:r>
              <w:rPr>
                <w:rFonts w:ascii="Arial" w:eastAsia="SimSun" w:hAnsi="Arial" w:cs="Arial"/>
                <w:color w:val="000000"/>
                <w:sz w:val="18"/>
              </w:rPr>
              <w:t>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608609A" w14:textId="77777777" w:rsidR="0093210B" w:rsidRPr="002E5DD0" w:rsidRDefault="0093210B" w:rsidP="0093210B">
            <w:pPr>
              <w:snapToGrid w:val="0"/>
              <w:spacing w:afterLines="50" w:after="120"/>
              <w:contextualSpacing/>
              <w:rPr>
                <w:rFonts w:ascii="Arial" w:eastAsia="SimSun" w:hAnsi="Arial" w:cs="Arial"/>
                <w:color w:val="000000"/>
                <w:sz w:val="18"/>
              </w:rPr>
            </w:pPr>
            <w:r w:rsidRPr="002E5DD0">
              <w:rPr>
                <w:rFonts w:ascii="Arial" w:eastAsia="SimSun" w:hAnsi="Arial" w:cs="Arial"/>
                <w:color w:val="000000"/>
                <w:sz w:val="18"/>
              </w:rPr>
              <w:t>Parallel measurements on cells belonging to a different NGSO satellite than a serving satellite without scheduling restrictions on normal operations with the serving cell</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4FE08583" w14:textId="77777777" w:rsidR="0093210B" w:rsidRPr="002E5DD0" w:rsidRDefault="0093210B" w:rsidP="0093210B">
            <w:pPr>
              <w:snapToGrid w:val="0"/>
              <w:spacing w:afterLines="50" w:after="120"/>
              <w:contextualSpacing/>
              <w:rPr>
                <w:rFonts w:ascii="Arial" w:eastAsia="SimSun" w:hAnsi="Arial" w:cs="Arial"/>
                <w:color w:val="000000"/>
                <w:sz w:val="18"/>
              </w:rPr>
            </w:pPr>
            <w:r w:rsidRPr="002E5DD0">
              <w:rPr>
                <w:rFonts w:ascii="Arial" w:eastAsia="SimSun" w:hAnsi="Arial" w:cs="Arial"/>
                <w:color w:val="000000"/>
                <w:sz w:val="18"/>
              </w:rPr>
              <w:t>Support of measurements on cells belonging to different satellite as the serving cell in parallel with normal operation (</w:t>
            </w:r>
            <w:proofErr w:type="gramStart"/>
            <w:r w:rsidRPr="002E5DD0">
              <w:rPr>
                <w:rFonts w:ascii="Arial" w:eastAsia="SimSun" w:hAnsi="Arial" w:cs="Arial"/>
                <w:color w:val="000000"/>
                <w:sz w:val="18"/>
              </w:rPr>
              <w:t>i.e.</w:t>
            </w:r>
            <w:proofErr w:type="gramEnd"/>
            <w:r w:rsidRPr="002E5DD0">
              <w:rPr>
                <w:rFonts w:ascii="Arial" w:eastAsia="SimSun" w:hAnsi="Arial" w:cs="Arial"/>
                <w:color w:val="000000"/>
                <w:sz w:val="18"/>
              </w:rP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r>
      <w:tr w:rsidR="0093210B" w:rsidRPr="002E5DD0" w14:paraId="2C2CC2E3" w14:textId="77777777" w:rsidTr="009842DA">
        <w:trPr>
          <w:trHeight w:val="795"/>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77B0E585" w14:textId="77777777" w:rsidR="0093210B" w:rsidRPr="002E5DD0" w:rsidRDefault="0093210B" w:rsidP="0093210B">
            <w:pPr>
              <w:snapToGrid w:val="0"/>
              <w:spacing w:afterLines="50" w:after="120"/>
              <w:contextualSpacing/>
              <w:rPr>
                <w:rFonts w:ascii="Arial" w:eastAsia="SimSun" w:hAnsi="Arial" w:cs="Arial"/>
                <w:color w:val="000000"/>
                <w:sz w:val="18"/>
              </w:rPr>
            </w:pPr>
            <w:r w:rsidRPr="002E5DD0">
              <w:rPr>
                <w:rFonts w:ascii="Arial" w:eastAsia="SimSun" w:hAnsi="Arial" w:cs="Arial"/>
                <w:color w:val="000000"/>
                <w:sz w:val="18"/>
              </w:rPr>
              <w:lastRenderedPageBreak/>
              <w:t>25.</w:t>
            </w:r>
          </w:p>
          <w:p w14:paraId="42F1E8CA" w14:textId="58620AC3" w:rsidR="0093210B" w:rsidRDefault="0093210B" w:rsidP="0093210B">
            <w:pPr>
              <w:snapToGrid w:val="0"/>
              <w:spacing w:afterLines="50" w:after="120"/>
              <w:contextualSpacing/>
              <w:rPr>
                <w:rFonts w:ascii="Arial" w:eastAsia="SimSun" w:hAnsi="Arial" w:cs="Arial"/>
                <w:color w:val="000000"/>
                <w:sz w:val="18"/>
              </w:rPr>
            </w:pPr>
            <w:proofErr w:type="spellStart"/>
            <w:r w:rsidRPr="002E5DD0">
              <w:rPr>
                <w:rFonts w:ascii="Arial" w:eastAsia="SimSun" w:hAnsi="Arial" w:cs="Arial"/>
                <w:color w:val="000000"/>
                <w:sz w:val="18"/>
              </w:rPr>
              <w:t>NR_NTN_solutions</w:t>
            </w:r>
            <w:proofErr w:type="spellEnd"/>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57C7143" w14:textId="48CE248C" w:rsidR="0093210B" w:rsidRDefault="0093210B" w:rsidP="0093210B">
            <w:pPr>
              <w:snapToGrid w:val="0"/>
              <w:spacing w:afterLines="50" w:after="120"/>
              <w:contextualSpacing/>
              <w:rPr>
                <w:rFonts w:ascii="Arial" w:eastAsia="SimSun" w:hAnsi="Arial" w:cs="Arial"/>
                <w:color w:val="000000"/>
                <w:sz w:val="18"/>
              </w:rPr>
            </w:pPr>
            <w:r w:rsidRPr="002E5DD0">
              <w:rPr>
                <w:rFonts w:ascii="Arial" w:eastAsia="SimSun" w:hAnsi="Arial" w:cs="Arial" w:hint="eastAsia"/>
                <w:color w:val="000000"/>
                <w:sz w:val="18"/>
              </w:rPr>
              <w:t>25-5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211F60D" w14:textId="275CF8A9" w:rsidR="0093210B" w:rsidRPr="002E5DD0" w:rsidRDefault="0093210B" w:rsidP="0093210B">
            <w:pPr>
              <w:snapToGrid w:val="0"/>
              <w:spacing w:afterLines="50" w:after="120"/>
              <w:contextualSpacing/>
              <w:rPr>
                <w:rFonts w:ascii="Arial" w:eastAsia="SimSun" w:hAnsi="Arial" w:cs="Arial"/>
                <w:color w:val="000000"/>
                <w:sz w:val="18"/>
              </w:rPr>
            </w:pPr>
            <w:r w:rsidRPr="002E5DD0">
              <w:rPr>
                <w:rFonts w:ascii="Arial" w:eastAsia="SimSun" w:hAnsi="Arial" w:cs="Arial"/>
                <w:color w:val="000000"/>
                <w:sz w:val="18"/>
              </w:rPr>
              <w:t>Parallel measurements on multiple NGSO satellites within a SMTC</w:t>
            </w:r>
          </w:p>
        </w:tc>
        <w:tc>
          <w:tcPr>
            <w:tcW w:w="5186" w:type="dxa"/>
            <w:tcBorders>
              <w:top w:val="single" w:sz="4" w:space="0" w:color="auto"/>
              <w:left w:val="single" w:sz="4" w:space="0" w:color="auto"/>
              <w:bottom w:val="single" w:sz="4" w:space="0" w:color="auto"/>
              <w:right w:val="single" w:sz="4" w:space="0" w:color="auto"/>
            </w:tcBorders>
            <w:shd w:val="clear" w:color="auto" w:fill="auto"/>
          </w:tcPr>
          <w:p w14:paraId="26191AFA" w14:textId="34BC3127" w:rsidR="0093210B" w:rsidRPr="002E5DD0" w:rsidRDefault="0093210B" w:rsidP="0093210B">
            <w:pPr>
              <w:snapToGrid w:val="0"/>
              <w:spacing w:afterLines="50" w:after="120"/>
              <w:contextualSpacing/>
              <w:rPr>
                <w:rFonts w:ascii="Arial" w:eastAsia="SimSun" w:hAnsi="Arial" w:cs="Arial"/>
                <w:color w:val="000000"/>
                <w:sz w:val="18"/>
              </w:rPr>
            </w:pPr>
            <w:r w:rsidRPr="002E5DD0">
              <w:rPr>
                <w:rFonts w:ascii="Arial" w:eastAsia="SimSun" w:hAnsi="Arial" w:cs="Arial"/>
                <w:color w:val="000000"/>
                <w:sz w:val="18"/>
              </w:rPr>
              <w:t>Support of simultaneously measurements on target cells belonging to different NGSO satellites within a SMTC</w:t>
            </w:r>
          </w:p>
        </w:tc>
      </w:tr>
    </w:tbl>
    <w:p w14:paraId="7650900F" w14:textId="77777777" w:rsidR="009842DA" w:rsidRPr="008D1FE1" w:rsidRDefault="009842DA" w:rsidP="008D1FE1">
      <w:pPr>
        <w:jc w:val="both"/>
        <w:rPr>
          <w:rFonts w:eastAsiaTheme="minorEastAsia"/>
        </w:rPr>
      </w:pPr>
      <w:r w:rsidRPr="008D1FE1">
        <w:rPr>
          <w:rFonts w:eastAsiaTheme="minorEastAsia"/>
        </w:rPr>
        <w:t xml:space="preserve">The FG 25-2 is the capability for L3 measurement + L1 operation or data/control transmission/reception, however, the FG25-5 is the capability for parallel L3 measurement among different target cells including serving cell and neighbor cells. Thus, FG </w:t>
      </w:r>
      <w:r w:rsidRPr="008D1FE1">
        <w:t>25-5 defines parallel L3 measurements on serving cell and intra-frequency cells</w:t>
      </w:r>
      <w:r w:rsidRPr="008D1FE1">
        <w:rPr>
          <w:rFonts w:eastAsiaTheme="minorEastAsia"/>
        </w:rPr>
        <w:t>.</w:t>
      </w:r>
    </w:p>
    <w:p w14:paraId="1165F920" w14:textId="012048E3" w:rsidR="009842DA" w:rsidRPr="008D1FE1" w:rsidRDefault="009842DA" w:rsidP="008D1FE1">
      <w:pPr>
        <w:rPr>
          <w:rFonts w:eastAsiaTheme="minorEastAsia"/>
          <w:b/>
          <w:bCs/>
          <w:i/>
          <w:iCs/>
        </w:rPr>
      </w:pPr>
      <w:r w:rsidRPr="008D1FE1">
        <w:rPr>
          <w:rFonts w:eastAsiaTheme="minorEastAsia"/>
          <w:b/>
          <w:bCs/>
          <w:i/>
          <w:iCs/>
        </w:rPr>
        <w:t>Proposal 1: FG</w:t>
      </w:r>
      <w:r w:rsidRPr="008D1FE1">
        <w:rPr>
          <w:b/>
          <w:bCs/>
          <w:i/>
          <w:iCs/>
        </w:rPr>
        <w:t>25-5 defines parallel L3 measurements on serving cell and intra-frequency cells</w:t>
      </w:r>
      <w:r w:rsidRPr="008D1FE1">
        <w:rPr>
          <w:rFonts w:eastAsiaTheme="minorEastAsia"/>
          <w:b/>
          <w:bCs/>
          <w:i/>
          <w:iCs/>
        </w:rPr>
        <w:t>.</w:t>
      </w:r>
    </w:p>
    <w:p w14:paraId="535884BC" w14:textId="77777777" w:rsidR="001800EC" w:rsidRPr="008D1FE1" w:rsidRDefault="009842DA" w:rsidP="008D1FE1">
      <w:pPr>
        <w:rPr>
          <w:rFonts w:eastAsiaTheme="minorEastAsia"/>
        </w:rPr>
      </w:pPr>
      <w:r w:rsidRPr="008D1FE1">
        <w:rPr>
          <w:rFonts w:eastAsiaTheme="minorEastAsia" w:hint="eastAsia"/>
        </w:rPr>
        <w:t xml:space="preserve">Regarding </w:t>
      </w:r>
      <w:r w:rsidRPr="008D1FE1">
        <w:rPr>
          <w:rFonts w:eastAsiaTheme="minorEastAsia"/>
        </w:rPr>
        <w:t xml:space="preserve">the UE behavior when </w:t>
      </w:r>
      <w:r w:rsidRPr="008D1FE1">
        <w:t>UE doesn’t support parallel L3 measurements on serving cell and intra-frequency cells, for time-critical neighbor cell measurement requirements,</w:t>
      </w:r>
      <w:r w:rsidRPr="008D1FE1">
        <w:rPr>
          <w:rFonts w:eastAsiaTheme="minorEastAsia"/>
        </w:rPr>
        <w:t xml:space="preserve"> our understanding is as long as the </w:t>
      </w:r>
      <w:proofErr w:type="spellStart"/>
      <w:r w:rsidRPr="008D1FE1">
        <w:rPr>
          <w:rFonts w:eastAsiaTheme="minorEastAsia"/>
        </w:rPr>
        <w:t>Ttrigger</w:t>
      </w:r>
      <w:proofErr w:type="spellEnd"/>
      <w:r w:rsidRPr="008D1FE1">
        <w:t xml:space="preserve"> definition</w:t>
      </w:r>
      <w:r w:rsidRPr="008D1FE1">
        <w:rPr>
          <w:rFonts w:eastAsiaTheme="minorEastAsia"/>
        </w:rPr>
        <w:t xml:space="preserve"> is not changed/enhanced, it’s up to UE implementation to organize the measurement order of different cells, e.g., serving cell or neighbor cells.</w:t>
      </w:r>
      <w:r w:rsidR="004B7D82" w:rsidRPr="008D1FE1">
        <w:rPr>
          <w:rFonts w:eastAsiaTheme="minorEastAsia"/>
        </w:rPr>
        <w:t xml:space="preserve"> The current</w:t>
      </w:r>
      <w:r w:rsidR="001800EC" w:rsidRPr="008D1FE1">
        <w:rPr>
          <w:rFonts w:eastAsiaTheme="minorEastAsia"/>
        </w:rPr>
        <w:t xml:space="preserve"> </w:t>
      </w:r>
      <w:proofErr w:type="spellStart"/>
      <w:r w:rsidR="001800EC" w:rsidRPr="008D1FE1">
        <w:t>Ttrigger</w:t>
      </w:r>
      <w:proofErr w:type="spellEnd"/>
      <w:r w:rsidR="001800EC" w:rsidRPr="008D1FE1">
        <w:t xml:space="preserve"> </w:t>
      </w:r>
      <w:r w:rsidR="001800EC" w:rsidRPr="008D1FE1">
        <w:rPr>
          <w:rFonts w:eastAsiaTheme="minorEastAsia"/>
        </w:rPr>
        <w:t>is defined as following:</w:t>
      </w:r>
    </w:p>
    <w:tbl>
      <w:tblPr>
        <w:tblStyle w:val="TableGrid"/>
        <w:tblW w:w="0" w:type="auto"/>
        <w:tblLook w:val="04A0" w:firstRow="1" w:lastRow="0" w:firstColumn="1" w:lastColumn="0" w:noHBand="0" w:noVBand="1"/>
      </w:tblPr>
      <w:tblGrid>
        <w:gridCol w:w="9629"/>
      </w:tblGrid>
      <w:tr w:rsidR="001800EC" w14:paraId="76412FAD" w14:textId="77777777" w:rsidTr="001800EC">
        <w:tc>
          <w:tcPr>
            <w:tcW w:w="9629" w:type="dxa"/>
          </w:tcPr>
          <w:p w14:paraId="11E3B267" w14:textId="77777777" w:rsidR="001800EC" w:rsidRPr="008D1FE1" w:rsidRDefault="001800EC" w:rsidP="001800EC">
            <w:pPr>
              <w:rPr>
                <w:sz w:val="20"/>
                <w:szCs w:val="20"/>
              </w:rPr>
            </w:pPr>
            <w:r w:rsidRPr="008D1FE1">
              <w:rPr>
                <w:sz w:val="20"/>
                <w:szCs w:val="20"/>
              </w:rPr>
              <w:t>If ‘</w:t>
            </w:r>
            <w:r w:rsidRPr="008D1FE1">
              <w:rPr>
                <w:i/>
                <w:iCs/>
                <w:sz w:val="20"/>
                <w:szCs w:val="20"/>
              </w:rPr>
              <w:t>t-Service</w:t>
            </w:r>
            <w:r w:rsidRPr="008D1FE1">
              <w:rPr>
                <w:sz w:val="20"/>
                <w:szCs w:val="20"/>
              </w:rPr>
              <w:t xml:space="preserve">’ is broadcasted and applicable, UE shall be able to detect, measure, and evaluate </w:t>
            </w:r>
            <w:proofErr w:type="spellStart"/>
            <w:r w:rsidRPr="008D1FE1">
              <w:rPr>
                <w:sz w:val="20"/>
                <w:szCs w:val="20"/>
              </w:rPr>
              <w:t>neighbour</w:t>
            </w:r>
            <w:proofErr w:type="spellEnd"/>
            <w:r w:rsidRPr="008D1FE1">
              <w:rPr>
                <w:sz w:val="20"/>
                <w:szCs w:val="20"/>
              </w:rPr>
              <w:t xml:space="preserve"> cells before the serving cell stops serving the area regardless of whether the distance condition based on serving cell reference location is met or the legacy </w:t>
            </w:r>
            <w:proofErr w:type="spellStart"/>
            <w:r w:rsidRPr="008D1FE1">
              <w:rPr>
                <w:sz w:val="20"/>
                <w:szCs w:val="20"/>
              </w:rPr>
              <w:t>Srxlev</w:t>
            </w:r>
            <w:proofErr w:type="spellEnd"/>
            <w:r w:rsidRPr="008D1FE1">
              <w:rPr>
                <w:sz w:val="20"/>
                <w:szCs w:val="20"/>
              </w:rPr>
              <w:t>/</w:t>
            </w:r>
            <w:proofErr w:type="spellStart"/>
            <w:r w:rsidRPr="008D1FE1">
              <w:rPr>
                <w:sz w:val="20"/>
                <w:szCs w:val="20"/>
              </w:rPr>
              <w:t>Squal</w:t>
            </w:r>
            <w:proofErr w:type="spellEnd"/>
            <w:r w:rsidRPr="008D1FE1">
              <w:rPr>
                <w:sz w:val="20"/>
                <w:szCs w:val="20"/>
              </w:rPr>
              <w:t xml:space="preserve"> condition are met, and </w:t>
            </w:r>
            <w:r w:rsidRPr="008D1FE1">
              <w:rPr>
                <w:color w:val="FF0000"/>
                <w:sz w:val="20"/>
                <w:szCs w:val="20"/>
                <w:highlight w:val="yellow"/>
              </w:rPr>
              <w:t xml:space="preserve">when to start the detection, measurement and evaluation on </w:t>
            </w:r>
            <w:proofErr w:type="spellStart"/>
            <w:r w:rsidRPr="008D1FE1">
              <w:rPr>
                <w:color w:val="FF0000"/>
                <w:sz w:val="20"/>
                <w:szCs w:val="20"/>
                <w:highlight w:val="yellow"/>
              </w:rPr>
              <w:t>neighbour</w:t>
            </w:r>
            <w:proofErr w:type="spellEnd"/>
            <w:r w:rsidRPr="008D1FE1">
              <w:rPr>
                <w:color w:val="FF0000"/>
                <w:sz w:val="20"/>
                <w:szCs w:val="20"/>
                <w:highlight w:val="yellow"/>
              </w:rPr>
              <w:t xml:space="preserve"> cells is up to UE implementation</w:t>
            </w:r>
            <w:r w:rsidRPr="008D1FE1">
              <w:rPr>
                <w:sz w:val="20"/>
                <w:szCs w:val="20"/>
              </w:rPr>
              <w:t xml:space="preserve">. This requirement does not apply when the time span from the last slot of SI transmission within SI modification period </w:t>
            </w:r>
            <w:r w:rsidRPr="008D1FE1">
              <w:rPr>
                <w:rFonts w:eastAsia="SimSun"/>
                <w:sz w:val="20"/>
                <w:szCs w:val="20"/>
              </w:rPr>
              <w:t xml:space="preserve">where the broadcasting of the last updated value for t-Service is acquired by the UE for the first time </w:t>
            </w:r>
            <w:r w:rsidRPr="008D1FE1">
              <w:rPr>
                <w:sz w:val="20"/>
                <w:szCs w:val="20"/>
              </w:rPr>
              <w:t xml:space="preserve">to the first slot when the cell is scheduled to stop serving the area according to the broadcasted information is less than </w:t>
            </w:r>
            <w:proofErr w:type="spellStart"/>
            <w:r w:rsidRPr="008D1FE1">
              <w:rPr>
                <w:sz w:val="20"/>
                <w:szCs w:val="20"/>
              </w:rPr>
              <w:t>T</w:t>
            </w:r>
            <w:r w:rsidRPr="008D1FE1">
              <w:rPr>
                <w:sz w:val="20"/>
                <w:szCs w:val="20"/>
                <w:vertAlign w:val="subscript"/>
              </w:rPr>
              <w:t>trigger</w:t>
            </w:r>
            <w:proofErr w:type="spellEnd"/>
            <w:r w:rsidRPr="008D1FE1">
              <w:rPr>
                <w:sz w:val="20"/>
                <w:szCs w:val="20"/>
              </w:rPr>
              <w:t>.</w:t>
            </w:r>
          </w:p>
          <w:p w14:paraId="673FD881" w14:textId="77777777" w:rsidR="001800EC" w:rsidRPr="008D1FE1" w:rsidRDefault="001800EC" w:rsidP="001800EC">
            <w:pPr>
              <w:pStyle w:val="EQ"/>
              <w:rPr>
                <w:sz w:val="20"/>
                <w:szCs w:val="20"/>
              </w:rPr>
            </w:pPr>
            <w:r w:rsidRPr="008D1FE1">
              <w:rPr>
                <w:sz w:val="20"/>
                <w:szCs w:val="20"/>
              </w:rPr>
              <w:tab/>
              <w:t>T</w:t>
            </w:r>
            <w:r w:rsidRPr="008D1FE1">
              <w:rPr>
                <w:sz w:val="20"/>
                <w:szCs w:val="20"/>
                <w:vertAlign w:val="subscript"/>
              </w:rPr>
              <w:t>trigger</w:t>
            </w:r>
            <w:r w:rsidRPr="008D1FE1">
              <w:rPr>
                <w:sz w:val="20"/>
                <w:szCs w:val="20"/>
              </w:rPr>
              <w:t xml:space="preserve"> = max(T</w:t>
            </w:r>
            <w:r w:rsidRPr="008D1FE1">
              <w:rPr>
                <w:sz w:val="20"/>
                <w:szCs w:val="20"/>
                <w:vertAlign w:val="subscript"/>
              </w:rPr>
              <w:t>detect,NR_Intra</w:t>
            </w:r>
            <w:r w:rsidRPr="008D1FE1">
              <w:rPr>
                <w:sz w:val="20"/>
                <w:szCs w:val="20"/>
              </w:rPr>
              <w:t>, K</w:t>
            </w:r>
            <w:r w:rsidRPr="008D1FE1">
              <w:rPr>
                <w:sz w:val="20"/>
                <w:szCs w:val="20"/>
                <w:vertAlign w:val="subscript"/>
              </w:rPr>
              <w:t>carrier</w:t>
            </w:r>
            <w:r w:rsidRPr="008D1FE1">
              <w:rPr>
                <w:sz w:val="20"/>
                <w:szCs w:val="20"/>
              </w:rPr>
              <w:t>* T</w:t>
            </w:r>
            <w:r w:rsidRPr="008D1FE1">
              <w:rPr>
                <w:sz w:val="20"/>
                <w:szCs w:val="20"/>
                <w:vertAlign w:val="subscript"/>
              </w:rPr>
              <w:t>detect,NR_Inter</w:t>
            </w:r>
            <w:r w:rsidRPr="008D1FE1">
              <w:rPr>
                <w:sz w:val="20"/>
                <w:szCs w:val="20"/>
              </w:rPr>
              <w:t>),</w:t>
            </w:r>
          </w:p>
          <w:p w14:paraId="1761CAD2" w14:textId="77777777" w:rsidR="001800EC" w:rsidRPr="008D1FE1" w:rsidRDefault="001800EC" w:rsidP="001800EC">
            <w:pPr>
              <w:rPr>
                <w:sz w:val="20"/>
                <w:szCs w:val="20"/>
              </w:rPr>
            </w:pPr>
            <w:proofErr w:type="gramStart"/>
            <w:r w:rsidRPr="008D1FE1">
              <w:rPr>
                <w:sz w:val="20"/>
                <w:szCs w:val="20"/>
              </w:rPr>
              <w:t>where</w:t>
            </w:r>
            <w:proofErr w:type="gramEnd"/>
          </w:p>
          <w:p w14:paraId="1DAE9ABB" w14:textId="77777777" w:rsidR="001800EC" w:rsidRPr="008D1FE1" w:rsidRDefault="001800EC" w:rsidP="001800EC">
            <w:pPr>
              <w:pStyle w:val="B1"/>
              <w:rPr>
                <w:sz w:val="20"/>
                <w:szCs w:val="20"/>
              </w:rPr>
            </w:pPr>
            <w:r w:rsidRPr="008D1FE1">
              <w:rPr>
                <w:sz w:val="20"/>
                <w:szCs w:val="20"/>
              </w:rPr>
              <w:t>-</w:t>
            </w:r>
            <w:r w:rsidRPr="008D1FE1">
              <w:rPr>
                <w:sz w:val="20"/>
                <w:szCs w:val="20"/>
              </w:rPr>
              <w:tab/>
            </w:r>
            <w:proofErr w:type="spellStart"/>
            <w:r w:rsidRPr="008D1FE1">
              <w:rPr>
                <w:sz w:val="20"/>
                <w:szCs w:val="20"/>
              </w:rPr>
              <w:t>K</w:t>
            </w:r>
            <w:r w:rsidRPr="008D1FE1">
              <w:rPr>
                <w:sz w:val="20"/>
                <w:szCs w:val="20"/>
                <w:vertAlign w:val="subscript"/>
              </w:rPr>
              <w:t>carrier</w:t>
            </w:r>
            <w:proofErr w:type="spellEnd"/>
            <w:r w:rsidRPr="008D1FE1">
              <w:rPr>
                <w:sz w:val="20"/>
                <w:szCs w:val="20"/>
              </w:rPr>
              <w:t xml:space="preserve"> is the number of NR inter-frequency carriers indicated by the serving cell,</w:t>
            </w:r>
          </w:p>
          <w:p w14:paraId="4E72B380" w14:textId="77777777" w:rsidR="001800EC" w:rsidRPr="008D1FE1" w:rsidRDefault="001800EC" w:rsidP="001800EC">
            <w:pPr>
              <w:pStyle w:val="B1"/>
              <w:rPr>
                <w:sz w:val="20"/>
                <w:szCs w:val="20"/>
              </w:rPr>
            </w:pPr>
            <w:r w:rsidRPr="008D1FE1">
              <w:rPr>
                <w:sz w:val="20"/>
                <w:szCs w:val="20"/>
              </w:rPr>
              <w:t>-</w:t>
            </w:r>
            <w:r w:rsidRPr="008D1FE1">
              <w:rPr>
                <w:sz w:val="20"/>
                <w:szCs w:val="20"/>
              </w:rPr>
              <w:tab/>
            </w:r>
            <w:proofErr w:type="spellStart"/>
            <w:proofErr w:type="gramStart"/>
            <w:r w:rsidRPr="008D1FE1">
              <w:rPr>
                <w:sz w:val="20"/>
                <w:szCs w:val="20"/>
              </w:rPr>
              <w:t>T</w:t>
            </w:r>
            <w:r w:rsidRPr="008D1FE1">
              <w:rPr>
                <w:sz w:val="20"/>
                <w:szCs w:val="20"/>
                <w:vertAlign w:val="subscript"/>
              </w:rPr>
              <w:t>detect,NR</w:t>
            </w:r>
            <w:proofErr w:type="gramEnd"/>
            <w:r w:rsidRPr="008D1FE1">
              <w:rPr>
                <w:sz w:val="20"/>
                <w:szCs w:val="20"/>
                <w:vertAlign w:val="subscript"/>
              </w:rPr>
              <w:t>_Intra</w:t>
            </w:r>
            <w:proofErr w:type="spellEnd"/>
            <w:r w:rsidRPr="008D1FE1">
              <w:rPr>
                <w:sz w:val="20"/>
                <w:szCs w:val="20"/>
              </w:rPr>
              <w:t xml:space="preserve"> refers to intra-frequency cell detection delay in IDLE/INACTIVE mode defined Table </w:t>
            </w:r>
            <w:proofErr w:type="spellStart"/>
            <w:r w:rsidRPr="008D1FE1">
              <w:rPr>
                <w:sz w:val="20"/>
                <w:szCs w:val="20"/>
              </w:rPr>
              <w:t>Table</w:t>
            </w:r>
            <w:proofErr w:type="spellEnd"/>
            <w:r w:rsidRPr="008D1FE1">
              <w:rPr>
                <w:sz w:val="20"/>
                <w:szCs w:val="20"/>
              </w:rPr>
              <w:t xml:space="preserve"> 4.2C.2.3-2,</w:t>
            </w:r>
          </w:p>
          <w:p w14:paraId="215D1EDA" w14:textId="77777777" w:rsidR="001800EC" w:rsidRPr="008D1FE1" w:rsidRDefault="001800EC" w:rsidP="001800EC">
            <w:pPr>
              <w:pStyle w:val="B1"/>
              <w:rPr>
                <w:sz w:val="20"/>
                <w:szCs w:val="20"/>
              </w:rPr>
            </w:pPr>
            <w:r w:rsidRPr="008D1FE1">
              <w:rPr>
                <w:sz w:val="20"/>
                <w:szCs w:val="20"/>
              </w:rPr>
              <w:t>-</w:t>
            </w:r>
            <w:r w:rsidRPr="008D1FE1">
              <w:rPr>
                <w:sz w:val="20"/>
                <w:szCs w:val="20"/>
              </w:rPr>
              <w:tab/>
            </w:r>
            <w:proofErr w:type="spellStart"/>
            <w:proofErr w:type="gramStart"/>
            <w:r w:rsidRPr="008D1FE1">
              <w:rPr>
                <w:sz w:val="20"/>
                <w:szCs w:val="20"/>
              </w:rPr>
              <w:t>T</w:t>
            </w:r>
            <w:r w:rsidRPr="008D1FE1">
              <w:rPr>
                <w:sz w:val="20"/>
                <w:szCs w:val="20"/>
                <w:vertAlign w:val="subscript"/>
              </w:rPr>
              <w:t>detect,NR</w:t>
            </w:r>
            <w:proofErr w:type="gramEnd"/>
            <w:r w:rsidRPr="008D1FE1">
              <w:rPr>
                <w:sz w:val="20"/>
                <w:szCs w:val="20"/>
                <w:vertAlign w:val="subscript"/>
              </w:rPr>
              <w:t>_Inter</w:t>
            </w:r>
            <w:proofErr w:type="spellEnd"/>
            <w:r w:rsidRPr="008D1FE1">
              <w:rPr>
                <w:sz w:val="20"/>
                <w:szCs w:val="20"/>
              </w:rPr>
              <w:t xml:space="preserve"> refers to inter-frequency cell detection delay in IDLE/INACTIVE mode defined Table 4.2C.2.4-2.</w:t>
            </w:r>
          </w:p>
          <w:p w14:paraId="59463A8E" w14:textId="3371DD42" w:rsidR="001800EC" w:rsidRPr="001800EC" w:rsidRDefault="001800EC" w:rsidP="001800EC">
            <w:r w:rsidRPr="008D1FE1">
              <w:rPr>
                <w:sz w:val="20"/>
                <w:szCs w:val="20"/>
              </w:rPr>
              <w:t xml:space="preserve">The requirements in this clause apply provided that the number of SMTCs for any inter-frequency carrier does not exceed the </w:t>
            </w:r>
            <w:r w:rsidRPr="008D1FE1">
              <w:rPr>
                <w:i/>
                <w:sz w:val="20"/>
                <w:szCs w:val="20"/>
              </w:rPr>
              <w:t>parallelSMTC-r17</w:t>
            </w:r>
            <w:r w:rsidRPr="008D1FE1">
              <w:rPr>
                <w:sz w:val="20"/>
                <w:szCs w:val="20"/>
              </w:rPr>
              <w:t xml:space="preserve">, otherwise UE may select one or subset of all the configured SMTCs sequentially for performing the measurements until </w:t>
            </w:r>
            <w:proofErr w:type="gramStart"/>
            <w:r w:rsidRPr="008D1FE1">
              <w:rPr>
                <w:sz w:val="20"/>
                <w:szCs w:val="20"/>
              </w:rPr>
              <w:t>all of</w:t>
            </w:r>
            <w:proofErr w:type="gramEnd"/>
            <w:r w:rsidRPr="008D1FE1">
              <w:rPr>
                <w:sz w:val="20"/>
                <w:szCs w:val="20"/>
              </w:rPr>
              <w:t xml:space="preserve"> the SMTCs can be measured. The selection of SMTCs to be used is up to UE implementation, and in this case, measurement period longer than the corresponding measurement period specified in Table 4.2C.2.3-1 and Table 4.2C.2.3-2 is expected.</w:t>
            </w:r>
          </w:p>
        </w:tc>
      </w:tr>
    </w:tbl>
    <w:p w14:paraId="7BECC7FB" w14:textId="02BA90B3" w:rsidR="008D1FE1" w:rsidRPr="00751C78" w:rsidRDefault="008D1FE1" w:rsidP="00751C78">
      <w:pPr>
        <w:rPr>
          <w:rFonts w:eastAsiaTheme="minorEastAsia"/>
        </w:rPr>
      </w:pPr>
      <w:r>
        <w:rPr>
          <w:rFonts w:eastAsiaTheme="minorEastAsia"/>
        </w:rPr>
        <w:t>RAN4 defined in TS38.133 that</w:t>
      </w:r>
      <w:r w:rsidRPr="008D1FE1">
        <w:t xml:space="preserve"> </w:t>
      </w:r>
      <w:r w:rsidRPr="008D1FE1">
        <w:rPr>
          <w:rFonts w:eastAsiaTheme="minorEastAsia"/>
        </w:rPr>
        <w:t xml:space="preserve">when to start the detection, measurement and evaluation on </w:t>
      </w:r>
      <w:proofErr w:type="spellStart"/>
      <w:r w:rsidRPr="008D1FE1">
        <w:rPr>
          <w:rFonts w:eastAsiaTheme="minorEastAsia"/>
        </w:rPr>
        <w:t>neighbour</w:t>
      </w:r>
      <w:proofErr w:type="spellEnd"/>
      <w:r w:rsidRPr="008D1FE1">
        <w:rPr>
          <w:rFonts w:eastAsiaTheme="minorEastAsia"/>
        </w:rPr>
        <w:t xml:space="preserve"> cells is up to UE implementation</w:t>
      </w:r>
      <w:r>
        <w:rPr>
          <w:rFonts w:eastAsiaTheme="minorEastAsia"/>
        </w:rPr>
        <w:t xml:space="preserve"> for service </w:t>
      </w:r>
      <w:proofErr w:type="gramStart"/>
      <w:r>
        <w:rPr>
          <w:rFonts w:eastAsiaTheme="minorEastAsia"/>
        </w:rPr>
        <w:t>time based</w:t>
      </w:r>
      <w:proofErr w:type="gramEnd"/>
      <w:r>
        <w:rPr>
          <w:rFonts w:eastAsiaTheme="minorEastAsia"/>
        </w:rPr>
        <w:t xml:space="preserve"> reselection. Thus, when </w:t>
      </w:r>
      <w:r w:rsidRPr="009842DA">
        <w:rPr>
          <w:rFonts w:eastAsiaTheme="minorEastAsia"/>
        </w:rPr>
        <w:t>UE doesn’t support parallel L3 measurements on serving cell and intra-frequency cells, for time-critical neighbor cell measurement requirements,</w:t>
      </w:r>
      <w:r>
        <w:rPr>
          <w:rFonts w:eastAsiaTheme="minorEastAsia"/>
        </w:rPr>
        <w:t xml:space="preserve"> it can be up to UE implementation on </w:t>
      </w:r>
      <w:r w:rsidRPr="008D1FE1">
        <w:rPr>
          <w:rFonts w:eastAsiaTheme="minorEastAsia"/>
        </w:rPr>
        <w:t xml:space="preserve">when to start the detection, </w:t>
      </w:r>
      <w:proofErr w:type="gramStart"/>
      <w:r w:rsidRPr="008D1FE1">
        <w:rPr>
          <w:rFonts w:eastAsiaTheme="minorEastAsia"/>
        </w:rPr>
        <w:t>measurement</w:t>
      </w:r>
      <w:proofErr w:type="gramEnd"/>
      <w:r w:rsidRPr="008D1FE1">
        <w:rPr>
          <w:rFonts w:eastAsiaTheme="minorEastAsia"/>
        </w:rPr>
        <w:t xml:space="preserve"> and evaluation on </w:t>
      </w:r>
      <w:proofErr w:type="spellStart"/>
      <w:r w:rsidRPr="008D1FE1">
        <w:rPr>
          <w:rFonts w:eastAsiaTheme="minorEastAsia"/>
        </w:rPr>
        <w:t>neighbour</w:t>
      </w:r>
      <w:proofErr w:type="spellEnd"/>
      <w:r w:rsidRPr="008D1FE1">
        <w:rPr>
          <w:rFonts w:eastAsiaTheme="minorEastAsia"/>
        </w:rPr>
        <w:t xml:space="preserve"> cells</w:t>
      </w:r>
      <w:r>
        <w:rPr>
          <w:rFonts w:eastAsiaTheme="minorEastAsia"/>
        </w:rPr>
        <w:t xml:space="preserve"> as long as UE can meet the reselection requirement with </w:t>
      </w:r>
      <w:proofErr w:type="spellStart"/>
      <w:r>
        <w:t>T</w:t>
      </w:r>
      <w:r>
        <w:rPr>
          <w:vertAlign w:val="subscript"/>
        </w:rPr>
        <w:t>trigger</w:t>
      </w:r>
      <w:proofErr w:type="spellEnd"/>
      <w:r>
        <w:t>.</w:t>
      </w:r>
    </w:p>
    <w:p w14:paraId="3B718AC6" w14:textId="7931AFB4" w:rsidR="008D1FE1" w:rsidRPr="00751C78" w:rsidRDefault="008D1FE1" w:rsidP="00751C78">
      <w:pPr>
        <w:pStyle w:val="3GPPNormalText"/>
        <w:rPr>
          <w:rFonts w:ascii="Times New Roman" w:hAnsi="Times New Roman" w:cs="Times New Roman"/>
          <w:b/>
          <w:bCs/>
          <w:i/>
          <w:iCs/>
        </w:rPr>
      </w:pPr>
      <w:r w:rsidRPr="008D1FE1">
        <w:rPr>
          <w:rFonts w:ascii="Times New Roman" w:eastAsiaTheme="minorEastAsia" w:hAnsi="Times New Roman" w:cs="Times New Roman"/>
          <w:b/>
          <w:bCs/>
          <w:i/>
          <w:iCs/>
        </w:rPr>
        <w:t xml:space="preserve">Proposal 2: when UE doesn’t support parallel L3 measurements on serving cell and intra-frequency cells, for time-critical neighbor cell measurement requirements, it can be up to UE implementation on when to start the detection, </w:t>
      </w:r>
      <w:proofErr w:type="gramStart"/>
      <w:r w:rsidRPr="008D1FE1">
        <w:rPr>
          <w:rFonts w:ascii="Times New Roman" w:eastAsiaTheme="minorEastAsia" w:hAnsi="Times New Roman" w:cs="Times New Roman"/>
          <w:b/>
          <w:bCs/>
          <w:i/>
          <w:iCs/>
        </w:rPr>
        <w:t>measurement</w:t>
      </w:r>
      <w:proofErr w:type="gramEnd"/>
      <w:r w:rsidRPr="008D1FE1">
        <w:rPr>
          <w:rFonts w:ascii="Times New Roman" w:eastAsiaTheme="minorEastAsia" w:hAnsi="Times New Roman" w:cs="Times New Roman"/>
          <w:b/>
          <w:bCs/>
          <w:i/>
          <w:iCs/>
        </w:rPr>
        <w:t xml:space="preserve"> and evaluation on </w:t>
      </w:r>
      <w:proofErr w:type="spellStart"/>
      <w:r w:rsidRPr="008D1FE1">
        <w:rPr>
          <w:rFonts w:ascii="Times New Roman" w:eastAsiaTheme="minorEastAsia" w:hAnsi="Times New Roman" w:cs="Times New Roman"/>
          <w:b/>
          <w:bCs/>
          <w:i/>
          <w:iCs/>
        </w:rPr>
        <w:t>neighbour</w:t>
      </w:r>
      <w:proofErr w:type="spellEnd"/>
      <w:r w:rsidRPr="008D1FE1">
        <w:rPr>
          <w:rFonts w:ascii="Times New Roman" w:eastAsiaTheme="minorEastAsia" w:hAnsi="Times New Roman" w:cs="Times New Roman"/>
          <w:b/>
          <w:bCs/>
          <w:i/>
          <w:iCs/>
        </w:rPr>
        <w:t xml:space="preserve"> cells as long as UE can meet the reselection requirement with </w:t>
      </w:r>
      <w:proofErr w:type="spellStart"/>
      <w:r w:rsidRPr="008D1FE1">
        <w:rPr>
          <w:rFonts w:ascii="Times New Roman" w:hAnsi="Times New Roman" w:cs="Times New Roman"/>
          <w:b/>
          <w:bCs/>
          <w:i/>
          <w:iCs/>
        </w:rPr>
        <w:t>T</w:t>
      </w:r>
      <w:r w:rsidRPr="008D1FE1">
        <w:rPr>
          <w:rFonts w:ascii="Times New Roman" w:hAnsi="Times New Roman" w:cs="Times New Roman"/>
          <w:b/>
          <w:bCs/>
          <w:i/>
          <w:iCs/>
          <w:vertAlign w:val="subscript"/>
        </w:rPr>
        <w:t>trigger</w:t>
      </w:r>
      <w:proofErr w:type="spellEnd"/>
      <w:r w:rsidRPr="008D1FE1">
        <w:rPr>
          <w:rFonts w:ascii="Times New Roman" w:hAnsi="Times New Roman" w:cs="Times New Roman"/>
          <w:b/>
          <w:bCs/>
          <w:i/>
          <w:iCs/>
        </w:rPr>
        <w:t>.</w:t>
      </w:r>
    </w:p>
    <w:p w14:paraId="43613848" w14:textId="6275CD00" w:rsidR="008D1FE1" w:rsidRPr="00751C78" w:rsidRDefault="008D1FE1" w:rsidP="008D1FE1">
      <w:pPr>
        <w:rPr>
          <w:rFonts w:eastAsia="MS Mincho"/>
          <w:b/>
          <w:bCs/>
          <w:u w:val="single"/>
        </w:rPr>
      </w:pPr>
      <w:r w:rsidRPr="008D1FE1">
        <w:rPr>
          <w:b/>
          <w:bCs/>
          <w:u w:val="single"/>
          <w:lang w:val="en-GB" w:eastAsia="x-none"/>
        </w:rPr>
        <w:lastRenderedPageBreak/>
        <w:t>Issue 1-7: The definition of overlapping SMTCs for cell reselection</w:t>
      </w:r>
    </w:p>
    <w:p w14:paraId="7E30F5DF" w14:textId="2FB40BFA" w:rsidR="00751C78" w:rsidRDefault="008D1FE1" w:rsidP="008D1FE1">
      <w:pPr>
        <w:jc w:val="both"/>
      </w:pPr>
      <w:r w:rsidRPr="008D1FE1">
        <w:rPr>
          <w:rFonts w:eastAsiaTheme="minorEastAsia"/>
        </w:rPr>
        <w:t>As discussed in RAN4#106 meeting, s</w:t>
      </w:r>
      <w:r w:rsidRPr="008D1FE1">
        <w:t>ince UE will shift the SMTC in IDLE/inactive mode according to the satellite moving to make sure the satellite can be measured in the SMTC window, and the overlapping of SMTCs may happens after such SMTC shifting</w:t>
      </w:r>
      <w:r w:rsidR="00751C78">
        <w:t>, as shown below,</w:t>
      </w:r>
    </w:p>
    <w:p w14:paraId="7948BB44" w14:textId="77777777" w:rsidR="00A53A82" w:rsidRDefault="00751C78" w:rsidP="00A53A82">
      <w:pPr>
        <w:keepNext/>
        <w:jc w:val="center"/>
      </w:pPr>
      <w:r w:rsidRPr="00751C78">
        <w:rPr>
          <w:rFonts w:eastAsiaTheme="minorEastAsia"/>
          <w:noProof/>
        </w:rPr>
        <w:drawing>
          <wp:inline distT="0" distB="0" distL="0" distR="0" wp14:anchorId="2704A19B" wp14:editId="584D64F8">
            <wp:extent cx="5413732" cy="2884066"/>
            <wp:effectExtent l="0" t="0" r="0" b="0"/>
            <wp:docPr id="1" name="Picture 1"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screen&#10;&#10;Description automatically generated with medium confidence"/>
                    <pic:cNvPicPr/>
                  </pic:nvPicPr>
                  <pic:blipFill>
                    <a:blip r:embed="rId8"/>
                    <a:stretch>
                      <a:fillRect/>
                    </a:stretch>
                  </pic:blipFill>
                  <pic:spPr>
                    <a:xfrm>
                      <a:off x="0" y="0"/>
                      <a:ext cx="5475367" cy="2916901"/>
                    </a:xfrm>
                    <a:prstGeom prst="rect">
                      <a:avLst/>
                    </a:prstGeom>
                  </pic:spPr>
                </pic:pic>
              </a:graphicData>
            </a:graphic>
          </wp:inline>
        </w:drawing>
      </w:r>
    </w:p>
    <w:p w14:paraId="63C92447" w14:textId="00A82CAB" w:rsidR="00751C78" w:rsidRDefault="00A53A82" w:rsidP="00A53A82">
      <w:pPr>
        <w:pStyle w:val="Caption"/>
        <w:jc w:val="center"/>
        <w:rPr>
          <w:rFonts w:eastAsiaTheme="minorEastAsia"/>
        </w:rPr>
      </w:pPr>
      <w:r>
        <w:t xml:space="preserve">Figure </w:t>
      </w:r>
      <w:fldSimple w:instr=" SEQ Figure \* ARABIC ">
        <w:r>
          <w:rPr>
            <w:noProof/>
          </w:rPr>
          <w:t>1</w:t>
        </w:r>
      </w:fldSimple>
      <w:r>
        <w:t>. SMTC collision after time shift</w:t>
      </w:r>
    </w:p>
    <w:tbl>
      <w:tblPr>
        <w:tblStyle w:val="TableGrid"/>
        <w:tblpPr w:leftFromText="180" w:rightFromText="180" w:vertAnchor="text" w:horzAnchor="margin" w:tblpY="755"/>
        <w:tblW w:w="0" w:type="auto"/>
        <w:tblLook w:val="04A0" w:firstRow="1" w:lastRow="0" w:firstColumn="1" w:lastColumn="0" w:noHBand="0" w:noVBand="1"/>
      </w:tblPr>
      <w:tblGrid>
        <w:gridCol w:w="9629"/>
      </w:tblGrid>
      <w:tr w:rsidR="00751C78" w14:paraId="01D0EC1A" w14:textId="77777777" w:rsidTr="00751C78">
        <w:tc>
          <w:tcPr>
            <w:tcW w:w="9629" w:type="dxa"/>
          </w:tcPr>
          <w:p w14:paraId="45634DC8" w14:textId="77777777" w:rsidR="00751C78" w:rsidRPr="00751C78" w:rsidRDefault="00751C78" w:rsidP="00751C78">
            <w:pPr>
              <w:pStyle w:val="Heading4"/>
              <w:spacing w:after="0"/>
              <w:rPr>
                <w:rFonts w:ascii="Times New Roman" w:hAnsi="Times New Roman"/>
                <w:b/>
                <w:bCs/>
                <w:sz w:val="20"/>
              </w:rPr>
            </w:pPr>
            <w:r w:rsidRPr="00751C78">
              <w:rPr>
                <w:rFonts w:ascii="Times New Roman" w:hAnsi="Times New Roman"/>
                <w:b/>
                <w:bCs/>
                <w:sz w:val="20"/>
              </w:rPr>
              <w:t>9.1C.9.3</w:t>
            </w:r>
            <w:r w:rsidRPr="00751C78">
              <w:rPr>
                <w:rFonts w:ascii="Times New Roman" w:hAnsi="Times New Roman"/>
                <w:b/>
                <w:bCs/>
                <w:sz w:val="20"/>
              </w:rPr>
              <w:tab/>
              <w:t>Collision between multiple SMTCs on a SAN carrier</w:t>
            </w:r>
          </w:p>
          <w:p w14:paraId="0DABC4AE" w14:textId="77777777" w:rsidR="00751C78" w:rsidRPr="00751C78" w:rsidRDefault="00751C78" w:rsidP="00751C78">
            <w:pPr>
              <w:spacing w:after="0"/>
              <w:rPr>
                <w:sz w:val="20"/>
                <w:szCs w:val="20"/>
              </w:rPr>
            </w:pPr>
            <w:r w:rsidRPr="00751C78">
              <w:rPr>
                <w:sz w:val="20"/>
                <w:szCs w:val="20"/>
              </w:rPr>
              <w:t xml:space="preserve">Collision between occasions of multiple SMTCs may occur as specified in this clause. </w:t>
            </w:r>
          </w:p>
          <w:p w14:paraId="11A50495" w14:textId="77777777" w:rsidR="00751C78" w:rsidRPr="00751C78" w:rsidRDefault="00751C78" w:rsidP="00751C78">
            <w:pPr>
              <w:spacing w:after="0"/>
              <w:ind w:left="28" w:hanging="28"/>
              <w:rPr>
                <w:sz w:val="20"/>
                <w:szCs w:val="20"/>
              </w:rPr>
            </w:pPr>
            <w:r w:rsidRPr="00751C78">
              <w:rPr>
                <w:sz w:val="20"/>
                <w:szCs w:val="20"/>
              </w:rPr>
              <w:t>When UE is configured with more than one SMTC on a SAN carrier, two SMTC occasions outside measurement gap are considered colliding if at least one of the following conditions is met:</w:t>
            </w:r>
          </w:p>
          <w:p w14:paraId="02AD728B" w14:textId="77777777" w:rsidR="00751C78" w:rsidRPr="00751C78" w:rsidRDefault="00751C78" w:rsidP="00751C78">
            <w:pPr>
              <w:spacing w:after="0"/>
              <w:ind w:left="568" w:hanging="284"/>
              <w:rPr>
                <w:color w:val="FF0000"/>
                <w:sz w:val="20"/>
                <w:szCs w:val="20"/>
              </w:rPr>
            </w:pPr>
            <w:r w:rsidRPr="00751C78">
              <w:rPr>
                <w:color w:val="FF0000"/>
                <w:sz w:val="20"/>
                <w:szCs w:val="20"/>
              </w:rPr>
              <w:t>-</w:t>
            </w:r>
            <w:r w:rsidRPr="00751C78">
              <w:rPr>
                <w:color w:val="FF0000"/>
                <w:sz w:val="20"/>
                <w:szCs w:val="20"/>
              </w:rPr>
              <w:tab/>
              <w:t>the two SMTC occasions are fully or partially overlapping in time domain, or</w:t>
            </w:r>
          </w:p>
          <w:p w14:paraId="530FEAA1" w14:textId="77777777" w:rsidR="00751C78" w:rsidRPr="00751C78" w:rsidRDefault="00751C78" w:rsidP="00751C78">
            <w:pPr>
              <w:spacing w:after="0"/>
              <w:ind w:left="568" w:hanging="284"/>
              <w:rPr>
                <w:color w:val="FF0000"/>
                <w:sz w:val="20"/>
                <w:szCs w:val="20"/>
              </w:rPr>
            </w:pPr>
            <w:r w:rsidRPr="00751C78">
              <w:rPr>
                <w:color w:val="FF0000"/>
                <w:sz w:val="20"/>
                <w:szCs w:val="20"/>
              </w:rPr>
              <w:t>-</w:t>
            </w:r>
            <w:r w:rsidRPr="00751C78">
              <w:rPr>
                <w:color w:val="FF0000"/>
                <w:sz w:val="20"/>
                <w:szCs w:val="20"/>
              </w:rPr>
              <w:tab/>
              <w:t xml:space="preserve">the magnitude of the distance between two SMTC occasions in time domain is less than or equals to 4 </w:t>
            </w:r>
            <w:proofErr w:type="spellStart"/>
            <w:r w:rsidRPr="00751C78">
              <w:rPr>
                <w:color w:val="FF0000"/>
                <w:sz w:val="20"/>
                <w:szCs w:val="20"/>
              </w:rPr>
              <w:t>ms.</w:t>
            </w:r>
            <w:proofErr w:type="spellEnd"/>
          </w:p>
          <w:p w14:paraId="24A8FBCF" w14:textId="77777777" w:rsidR="00751C78" w:rsidRPr="00751C78" w:rsidRDefault="00751C78" w:rsidP="00751C78">
            <w:pPr>
              <w:spacing w:after="0"/>
            </w:pPr>
            <w:r w:rsidRPr="00751C78">
              <w:rPr>
                <w:sz w:val="20"/>
                <w:szCs w:val="20"/>
              </w:rPr>
              <w:t xml:space="preserve">The distance between two SMTC occasions is defined as the time difference between the ending point of the earlier SMTC occasion and the starting point of the later SMTC </w:t>
            </w:r>
            <w:proofErr w:type="spellStart"/>
            <w:r w:rsidRPr="00751C78">
              <w:rPr>
                <w:sz w:val="20"/>
                <w:szCs w:val="20"/>
              </w:rPr>
              <w:t>ocasssion</w:t>
            </w:r>
            <w:proofErr w:type="spellEnd"/>
            <w:r w:rsidRPr="00751C78">
              <w:rPr>
                <w:sz w:val="20"/>
                <w:szCs w:val="20"/>
              </w:rPr>
              <w:t>.</w:t>
            </w:r>
            <w:r>
              <w:t xml:space="preserve"> </w:t>
            </w:r>
          </w:p>
        </w:tc>
      </w:tr>
    </w:tbl>
    <w:p w14:paraId="54799836" w14:textId="0A9B0F5A" w:rsidR="00751C78" w:rsidRDefault="00751C78" w:rsidP="00751C78">
      <w:pPr>
        <w:rPr>
          <w:rFonts w:eastAsiaTheme="minorEastAsia"/>
        </w:rPr>
      </w:pPr>
      <w:r>
        <w:rPr>
          <w:rFonts w:eastAsiaTheme="minorEastAsia"/>
        </w:rPr>
        <w:t xml:space="preserve">We think the overlapped SMTC in IDLE and Inactive shall </w:t>
      </w:r>
      <w:proofErr w:type="gramStart"/>
      <w:r>
        <w:rPr>
          <w:rFonts w:eastAsiaTheme="minorEastAsia"/>
        </w:rPr>
        <w:t>take into account</w:t>
      </w:r>
      <w:proofErr w:type="gramEnd"/>
      <w:r>
        <w:rPr>
          <w:rFonts w:eastAsiaTheme="minorEastAsia"/>
        </w:rPr>
        <w:t xml:space="preserve"> the shifting due to the satellite moving. The existing SMTC collision is defined in section 9.1C.9.3 as following,</w:t>
      </w:r>
    </w:p>
    <w:p w14:paraId="58B33C2F" w14:textId="6F6B50FD" w:rsidR="00751C78" w:rsidRDefault="00751C78" w:rsidP="00F0641C">
      <w:pPr>
        <w:jc w:val="both"/>
        <w:rPr>
          <w:rFonts w:eastAsiaTheme="minorEastAsia"/>
        </w:rPr>
      </w:pPr>
      <w:r>
        <w:rPr>
          <w:rFonts w:eastAsiaTheme="minorEastAsia"/>
        </w:rPr>
        <w:t>However, such SMTC occasions in the collision definition shall also consider the SMTC occasions after shifting in IDLE/Inactive mode.</w:t>
      </w:r>
      <w:r w:rsidR="00F0641C">
        <w:rPr>
          <w:rFonts w:eastAsiaTheme="minorEastAsia"/>
        </w:rPr>
        <w:t xml:space="preserve"> In cell reselection requirement, we have one clarification sentence for requirement applicability,</w:t>
      </w:r>
    </w:p>
    <w:p w14:paraId="4995B266" w14:textId="77777777" w:rsidR="00F0641C" w:rsidRPr="00F0641C" w:rsidRDefault="00F0641C" w:rsidP="00F0641C">
      <w:pPr>
        <w:rPr>
          <w:i/>
          <w:iCs/>
        </w:rPr>
      </w:pPr>
      <w:r w:rsidRPr="00F0641C">
        <w:rPr>
          <w:i/>
          <w:iCs/>
          <w:highlight w:val="yellow"/>
        </w:rPr>
        <w:t xml:space="preserve">The requirements in this clause apply provided that SSB of </w:t>
      </w:r>
      <w:proofErr w:type="spellStart"/>
      <w:r w:rsidRPr="00F0641C">
        <w:rPr>
          <w:i/>
          <w:iCs/>
          <w:highlight w:val="yellow"/>
        </w:rPr>
        <w:t>neighbour</w:t>
      </w:r>
      <w:proofErr w:type="spellEnd"/>
      <w:r w:rsidRPr="00F0641C">
        <w:rPr>
          <w:i/>
          <w:iCs/>
          <w:highlight w:val="yellow"/>
        </w:rPr>
        <w:t xml:space="preserve"> cells are within the time shifted SMTC.</w:t>
      </w:r>
    </w:p>
    <w:p w14:paraId="3E6CB30D" w14:textId="0F898A68" w:rsidR="00F0641C" w:rsidRDefault="00F0641C" w:rsidP="00F0641C">
      <w:pPr>
        <w:jc w:val="both"/>
        <w:rPr>
          <w:rFonts w:eastAsiaTheme="minorEastAsia"/>
        </w:rPr>
      </w:pPr>
      <w:r>
        <w:rPr>
          <w:rFonts w:eastAsiaTheme="minorEastAsia"/>
        </w:rPr>
        <w:t xml:space="preserve">Since R17 core is closed, we prefer to not introduce new requirement for such special </w:t>
      </w:r>
      <w:proofErr w:type="gramStart"/>
      <w:r>
        <w:rPr>
          <w:rFonts w:eastAsiaTheme="minorEastAsia"/>
        </w:rPr>
        <w:t>case</w:t>
      </w:r>
      <w:proofErr w:type="gramEnd"/>
      <w:r>
        <w:rPr>
          <w:rFonts w:eastAsiaTheme="minorEastAsia"/>
        </w:rPr>
        <w:t xml:space="preserve"> but we can further clarify on top of existing requirement applicability. We propose to expand this applicability definition to cover the SMTC collision after shifting, i.e., </w:t>
      </w:r>
      <w:r w:rsidRPr="00F0641C">
        <w:rPr>
          <w:rFonts w:eastAsiaTheme="minorEastAsia"/>
        </w:rPr>
        <w:t xml:space="preserve">The requirements in this clause apply provided that SSB of </w:t>
      </w:r>
      <w:proofErr w:type="spellStart"/>
      <w:r w:rsidRPr="00F0641C">
        <w:rPr>
          <w:rFonts w:eastAsiaTheme="minorEastAsia"/>
        </w:rPr>
        <w:t>neighbour</w:t>
      </w:r>
      <w:proofErr w:type="spellEnd"/>
      <w:r w:rsidRPr="00F0641C">
        <w:rPr>
          <w:rFonts w:eastAsiaTheme="minorEastAsia"/>
        </w:rPr>
        <w:t xml:space="preserve"> cells are within the time shifted SMTC</w:t>
      </w:r>
      <w:r>
        <w:rPr>
          <w:rFonts w:eastAsiaTheme="minorEastAsia"/>
        </w:rPr>
        <w:t>, and this SMTC after time shifting is not collided with other SMTC occasion(s).</w:t>
      </w:r>
    </w:p>
    <w:p w14:paraId="0FA86988" w14:textId="0F6F609C" w:rsidR="00A53A82" w:rsidRDefault="00A53A82" w:rsidP="00F0641C">
      <w:pPr>
        <w:jc w:val="both"/>
        <w:rPr>
          <w:rFonts w:eastAsiaTheme="minorEastAsia"/>
          <w:b/>
          <w:bCs/>
          <w:i/>
          <w:iCs/>
        </w:rPr>
      </w:pPr>
      <w:r w:rsidRPr="00A53A82">
        <w:rPr>
          <w:rFonts w:eastAsiaTheme="minorEastAsia"/>
          <w:b/>
          <w:bCs/>
          <w:i/>
          <w:iCs/>
        </w:rPr>
        <w:lastRenderedPageBreak/>
        <w:t xml:space="preserve">Proposal 3: expand existing applicability definition in IDLE/Inactive requirement to cover the SMTC collision after shifting, i.e., the requirements in IDLE/Inactive apply provided that SSB of </w:t>
      </w:r>
      <w:proofErr w:type="spellStart"/>
      <w:r w:rsidRPr="00A53A82">
        <w:rPr>
          <w:rFonts w:eastAsiaTheme="minorEastAsia"/>
          <w:b/>
          <w:bCs/>
          <w:i/>
          <w:iCs/>
        </w:rPr>
        <w:t>neighbour</w:t>
      </w:r>
      <w:proofErr w:type="spellEnd"/>
      <w:r w:rsidRPr="00A53A82">
        <w:rPr>
          <w:rFonts w:eastAsiaTheme="minorEastAsia"/>
          <w:b/>
          <w:bCs/>
          <w:i/>
          <w:iCs/>
        </w:rPr>
        <w:t xml:space="preserve"> cells are within the time shifted SMTC, and this SMTC after time shifting is not collided with other SMTC occasion(s).</w:t>
      </w:r>
    </w:p>
    <w:p w14:paraId="069E8FBF" w14:textId="6061DE07" w:rsidR="00A53A82" w:rsidRDefault="00A53A82" w:rsidP="00F0641C">
      <w:pPr>
        <w:jc w:val="both"/>
        <w:rPr>
          <w:rFonts w:eastAsiaTheme="minorEastAsia"/>
        </w:rPr>
      </w:pPr>
      <w:r>
        <w:rPr>
          <w:rFonts w:eastAsiaTheme="minorEastAsia"/>
        </w:rPr>
        <w:t xml:space="preserve">In addition, we identified another issue related with such time shifted SMTC, that is, it’s unclear to </w:t>
      </w:r>
      <w:r w:rsidRPr="00A53A82">
        <w:rPr>
          <w:rFonts w:eastAsiaTheme="minorEastAsia"/>
        </w:rPr>
        <w:t>decide which direction on time domain shall SMTC window shift if one SMTC window is associated with multiple satellites</w:t>
      </w:r>
      <w:r>
        <w:rPr>
          <w:rFonts w:eastAsiaTheme="minorEastAsia"/>
        </w:rPr>
        <w:t>. As illustrated in the following figures,</w:t>
      </w:r>
    </w:p>
    <w:p w14:paraId="501B0071" w14:textId="77777777" w:rsidR="00E533AD" w:rsidRDefault="00A53A82" w:rsidP="00E533AD">
      <w:pPr>
        <w:keepNext/>
        <w:rPr>
          <w:rFonts w:ascii="Arial" w:eastAsia="SimSun" w:hAnsi="Arial"/>
          <w:b/>
          <w:noProof/>
          <w:szCs w:val="20"/>
          <w:lang w:val="en-GB" w:eastAsia="en-US"/>
        </w:rPr>
      </w:pPr>
      <w:r w:rsidRPr="00A53A82">
        <w:rPr>
          <w:rFonts w:eastAsiaTheme="minorEastAsia"/>
          <w:noProof/>
        </w:rPr>
        <w:drawing>
          <wp:anchor distT="0" distB="0" distL="114300" distR="114300" simplePos="0" relativeHeight="251658240" behindDoc="0" locked="0" layoutInCell="1" allowOverlap="1" wp14:anchorId="5E5A459A" wp14:editId="78222A5D">
            <wp:simplePos x="1752600" y="2482850"/>
            <wp:positionH relativeFrom="column">
              <wp:posOffset>1748790</wp:posOffset>
            </wp:positionH>
            <wp:positionV relativeFrom="paragraph">
              <wp:align>top</wp:align>
            </wp:positionV>
            <wp:extent cx="4057954" cy="2979369"/>
            <wp:effectExtent l="0" t="0" r="0" b="0"/>
            <wp:wrapSquare wrapText="bothSides"/>
            <wp:docPr id="2" name="Picture 2" descr="Graphical user interfac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7954" cy="2979369"/>
                    </a:xfrm>
                    <a:prstGeom prst="rect">
                      <a:avLst/>
                    </a:prstGeom>
                  </pic:spPr>
                </pic:pic>
              </a:graphicData>
            </a:graphic>
          </wp:anchor>
        </w:drawing>
      </w:r>
    </w:p>
    <w:p w14:paraId="37170B27" w14:textId="77777777" w:rsidR="00E533AD" w:rsidRDefault="00E533AD" w:rsidP="00E533AD">
      <w:pPr>
        <w:keepNext/>
        <w:rPr>
          <w:rFonts w:ascii="Arial" w:eastAsia="SimSun" w:hAnsi="Arial"/>
          <w:b/>
          <w:noProof/>
          <w:szCs w:val="20"/>
          <w:lang w:val="en-GB" w:eastAsia="en-US"/>
        </w:rPr>
      </w:pPr>
    </w:p>
    <w:p w14:paraId="1EC39B94" w14:textId="0A13AE77" w:rsidR="00A53A82" w:rsidRDefault="00E533AD" w:rsidP="00E533AD">
      <w:pPr>
        <w:keepNext/>
        <w:tabs>
          <w:tab w:val="center" w:pos="1287"/>
        </w:tabs>
      </w:pPr>
      <w:r>
        <w:tab/>
      </w:r>
      <w:r>
        <w:br w:type="textWrapping" w:clear="all"/>
      </w:r>
    </w:p>
    <w:p w14:paraId="1419C2F3" w14:textId="69FC3F0C" w:rsidR="00A53A82" w:rsidRDefault="00A53A82" w:rsidP="00A53A82">
      <w:pPr>
        <w:pStyle w:val="Caption"/>
        <w:jc w:val="center"/>
        <w:rPr>
          <w:rFonts w:eastAsiaTheme="minorEastAsia"/>
        </w:rPr>
      </w:pPr>
      <w:r>
        <w:t xml:space="preserve">Figure </w:t>
      </w:r>
      <w:fldSimple w:instr=" SEQ Figure \* ARABIC ">
        <w:r>
          <w:rPr>
            <w:noProof/>
          </w:rPr>
          <w:t>2</w:t>
        </w:r>
      </w:fldSimple>
      <w:r>
        <w:t xml:space="preserve">. Illustration for unclear SMTC shifting </w:t>
      </w:r>
      <w:proofErr w:type="gramStart"/>
      <w:r>
        <w:t>directions</w:t>
      </w:r>
      <w:proofErr w:type="gramEnd"/>
    </w:p>
    <w:p w14:paraId="3B690398" w14:textId="1779D85C" w:rsidR="00F84AB1" w:rsidRDefault="00CA5949" w:rsidP="0019237E">
      <w:pPr>
        <w:jc w:val="both"/>
        <w:rPr>
          <w:rFonts w:eastAsiaTheme="minorEastAsia"/>
        </w:rPr>
      </w:pPr>
      <w:r>
        <w:rPr>
          <w:rFonts w:eastAsiaTheme="minorEastAsia"/>
        </w:rPr>
        <w:t xml:space="preserve">In the figure 2, if two satellites are on same carrier and one single SMTC configuration is configured on that carrier, but the Sat1 and Sat2 are moving on opposite directions, it’s unclear which direction shall SMTC window shifting follows. </w:t>
      </w:r>
      <w:r w:rsidR="00F84AB1">
        <w:rPr>
          <w:rFonts w:eastAsiaTheme="minorEastAsia"/>
        </w:rPr>
        <w:t>In TS38.331, the SMTC configuration</w:t>
      </w:r>
      <w:r w:rsidR="0019237E">
        <w:rPr>
          <w:rFonts w:eastAsiaTheme="minorEastAsia"/>
        </w:rPr>
        <w:t xml:space="preserve"> (</w:t>
      </w:r>
      <w:r w:rsidR="0019237E" w:rsidRPr="0019237E">
        <w:rPr>
          <w:i/>
          <w:iCs/>
        </w:rPr>
        <w:t>smtc4list-r17</w:t>
      </w:r>
      <w:r w:rsidR="0019237E">
        <w:rPr>
          <w:rFonts w:eastAsiaTheme="minorEastAsia"/>
        </w:rPr>
        <w:t>)</w:t>
      </w:r>
      <w:r w:rsidR="00F84AB1">
        <w:rPr>
          <w:rFonts w:eastAsiaTheme="minorEastAsia"/>
        </w:rPr>
        <w:t xml:space="preserve"> is </w:t>
      </w:r>
      <w:r w:rsidR="0019237E">
        <w:rPr>
          <w:rFonts w:eastAsiaTheme="minorEastAsia"/>
        </w:rPr>
        <w:t>independent from the cell list in the SI (e.g., SIB2, SIB3 and SIB4), then it’s ambiguous to UE which satellite shall be associated with which SMTC, and therefore, the SMTC shifting will be problematic as described in figure 2.</w:t>
      </w:r>
      <w:r w:rsidR="00BB0B4D">
        <w:rPr>
          <w:rFonts w:eastAsiaTheme="minorEastAsia"/>
        </w:rPr>
        <w:t xml:space="preserve"> </w:t>
      </w:r>
      <w:r w:rsidR="00F84AB1">
        <w:rPr>
          <w:rFonts w:eastAsiaTheme="minorEastAsia"/>
        </w:rPr>
        <w:t>In our view, it would be desirable if the</w:t>
      </w:r>
      <w:r w:rsidR="0019237E">
        <w:rPr>
          <w:rFonts w:eastAsiaTheme="minorEastAsia"/>
        </w:rPr>
        <w:t xml:space="preserve"> association between satellite and SMTC configuration can be provided to UE to facilitate the dynamic SMTC shifting based on satellite moving.</w:t>
      </w:r>
    </w:p>
    <w:p w14:paraId="7BE18E74" w14:textId="2AC4FFD0" w:rsidR="0019237E" w:rsidRDefault="0019237E" w:rsidP="00A53A82">
      <w:pPr>
        <w:jc w:val="both"/>
        <w:rPr>
          <w:rFonts w:eastAsiaTheme="minorEastAsia"/>
          <w:b/>
          <w:bCs/>
          <w:i/>
          <w:iCs/>
        </w:rPr>
      </w:pPr>
      <w:r w:rsidRPr="0019237E">
        <w:rPr>
          <w:rFonts w:eastAsiaTheme="minorEastAsia"/>
          <w:b/>
          <w:bCs/>
          <w:i/>
          <w:iCs/>
        </w:rPr>
        <w:t>Observation: it would be desirable if the association between satellites and SMTC configuration can be provided to UE to facilitate the dynamic SMTC shifting based on satellite moving.</w:t>
      </w:r>
    </w:p>
    <w:p w14:paraId="6D06AED4" w14:textId="189BD23F" w:rsidR="00BB0B4D" w:rsidRDefault="00BB0B4D" w:rsidP="00A53A82">
      <w:pPr>
        <w:jc w:val="both"/>
        <w:rPr>
          <w:rFonts w:eastAsiaTheme="minorEastAsia"/>
        </w:rPr>
      </w:pPr>
      <w:r w:rsidRPr="00BB0B4D">
        <w:rPr>
          <w:rFonts w:eastAsiaTheme="minorEastAsia"/>
        </w:rPr>
        <w:t xml:space="preserve">However, we understand the core part of this WI is closed and this clarification </w:t>
      </w:r>
      <w:r>
        <w:rPr>
          <w:rFonts w:eastAsiaTheme="minorEastAsia"/>
        </w:rPr>
        <w:t>will</w:t>
      </w:r>
      <w:r w:rsidRPr="00BB0B4D">
        <w:rPr>
          <w:rFonts w:eastAsiaTheme="minorEastAsia"/>
        </w:rPr>
        <w:t xml:space="preserve"> also need RAN2 involvement</w:t>
      </w:r>
      <w:r>
        <w:rPr>
          <w:rFonts w:eastAsiaTheme="minorEastAsia"/>
        </w:rPr>
        <w:t xml:space="preserve">, and therefore we are open to leave it to UE implementation or send LS to RAN2 </w:t>
      </w:r>
      <w:r w:rsidR="001B32AF">
        <w:rPr>
          <w:rFonts w:eastAsiaTheme="minorEastAsia"/>
        </w:rPr>
        <w:t xml:space="preserve">to ask </w:t>
      </w:r>
      <w:r>
        <w:rPr>
          <w:rFonts w:eastAsiaTheme="minorEastAsia"/>
        </w:rPr>
        <w:t>for their clarification.</w:t>
      </w:r>
    </w:p>
    <w:p w14:paraId="30D9EA5F" w14:textId="77777777" w:rsidR="001B32AF" w:rsidRDefault="00BB0B4D" w:rsidP="001B32AF">
      <w:pPr>
        <w:spacing w:after="0"/>
        <w:jc w:val="both"/>
        <w:rPr>
          <w:rFonts w:eastAsiaTheme="minorEastAsia"/>
          <w:b/>
          <w:bCs/>
          <w:i/>
          <w:iCs/>
        </w:rPr>
      </w:pPr>
      <w:r w:rsidRPr="001B32AF">
        <w:rPr>
          <w:rFonts w:eastAsiaTheme="minorEastAsia"/>
          <w:b/>
          <w:bCs/>
          <w:i/>
          <w:iCs/>
        </w:rPr>
        <w:t xml:space="preserve">Proposal 4: </w:t>
      </w:r>
    </w:p>
    <w:p w14:paraId="71583F2F" w14:textId="330114FB" w:rsidR="00BB0B4D" w:rsidRDefault="00BB0B4D" w:rsidP="001B32AF">
      <w:pPr>
        <w:spacing w:after="0"/>
        <w:jc w:val="both"/>
        <w:rPr>
          <w:rFonts w:eastAsiaTheme="minorEastAsia"/>
          <w:b/>
          <w:bCs/>
          <w:i/>
          <w:iCs/>
        </w:rPr>
      </w:pPr>
      <w:r w:rsidRPr="001B32AF">
        <w:rPr>
          <w:rFonts w:eastAsiaTheme="minorEastAsia"/>
          <w:b/>
          <w:bCs/>
          <w:i/>
          <w:iCs/>
        </w:rPr>
        <w:t>RAN4 to discuss the issue that:</w:t>
      </w:r>
      <w:r w:rsidR="001B32AF">
        <w:rPr>
          <w:rFonts w:eastAsiaTheme="minorEastAsia"/>
          <w:b/>
          <w:bCs/>
          <w:i/>
          <w:iCs/>
        </w:rPr>
        <w:t xml:space="preserve"> in IDLE/Inactive mode, </w:t>
      </w:r>
      <w:r w:rsidRPr="001B32AF">
        <w:rPr>
          <w:rFonts w:eastAsiaTheme="minorEastAsia"/>
          <w:b/>
          <w:bCs/>
          <w:i/>
          <w:iCs/>
        </w:rPr>
        <w:t>when multiple satellites are deployed with same SMTC configuration, which satellite(s) shall UE follow to adjust the SMTC</w:t>
      </w:r>
      <w:r w:rsidR="001B32AF">
        <w:rPr>
          <w:rFonts w:eastAsiaTheme="minorEastAsia"/>
          <w:b/>
          <w:bCs/>
          <w:i/>
          <w:iCs/>
        </w:rPr>
        <w:t>.</w:t>
      </w:r>
    </w:p>
    <w:p w14:paraId="1974EA7D" w14:textId="043AE1FB" w:rsidR="001B32AF" w:rsidRPr="001B32AF" w:rsidRDefault="001B32AF" w:rsidP="001B32AF">
      <w:pPr>
        <w:pStyle w:val="ListParagraph"/>
        <w:numPr>
          <w:ilvl w:val="0"/>
          <w:numId w:val="34"/>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t>Alt1: up to UE implementation and no requirement shall be defined to associate satellite with SMTC adjustment.</w:t>
      </w:r>
    </w:p>
    <w:p w14:paraId="1B93F5DD" w14:textId="6A557848" w:rsidR="001B32AF" w:rsidRPr="001B32AF" w:rsidRDefault="001B32AF" w:rsidP="001B32AF">
      <w:pPr>
        <w:pStyle w:val="ListParagraph"/>
        <w:numPr>
          <w:ilvl w:val="0"/>
          <w:numId w:val="34"/>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lastRenderedPageBreak/>
        <w:t>Alt2: send LS to RAN2 to ask for their clarification.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669C9F8" w14:textId="77777777" w:rsidR="001B32AF" w:rsidRDefault="001B32AF" w:rsidP="001B32AF">
      <w:pPr>
        <w:spacing w:after="120"/>
        <w:jc w:val="both"/>
      </w:pPr>
      <w:r>
        <w:t>In this contribution, we discuss the above open issues from RAN4#106 meeting.</w:t>
      </w:r>
    </w:p>
    <w:p w14:paraId="3AA81BED" w14:textId="77777777" w:rsidR="001B32AF" w:rsidRPr="008D1FE1" w:rsidRDefault="001B32AF" w:rsidP="001B32AF">
      <w:pPr>
        <w:rPr>
          <w:rFonts w:eastAsiaTheme="minorEastAsia"/>
          <w:b/>
          <w:bCs/>
          <w:i/>
          <w:iCs/>
        </w:rPr>
      </w:pPr>
      <w:r w:rsidRPr="008D1FE1">
        <w:rPr>
          <w:rFonts w:eastAsiaTheme="minorEastAsia"/>
          <w:b/>
          <w:bCs/>
          <w:i/>
          <w:iCs/>
        </w:rPr>
        <w:t>Proposal 1: FG</w:t>
      </w:r>
      <w:r w:rsidRPr="008D1FE1">
        <w:rPr>
          <w:b/>
          <w:bCs/>
          <w:i/>
          <w:iCs/>
        </w:rPr>
        <w:t>25-5 defines parallel L3 measurements on serving cell and intra-frequency cells</w:t>
      </w:r>
      <w:r w:rsidRPr="008D1FE1">
        <w:rPr>
          <w:rFonts w:eastAsiaTheme="minorEastAsia"/>
          <w:b/>
          <w:bCs/>
          <w:i/>
          <w:iCs/>
        </w:rPr>
        <w:t>.</w:t>
      </w:r>
    </w:p>
    <w:p w14:paraId="21021C42" w14:textId="77777777" w:rsidR="001B32AF" w:rsidRPr="00751C78" w:rsidRDefault="001B32AF" w:rsidP="001B32AF">
      <w:pPr>
        <w:pStyle w:val="3GPPNormalText"/>
        <w:rPr>
          <w:rFonts w:ascii="Times New Roman" w:hAnsi="Times New Roman" w:cs="Times New Roman"/>
          <w:b/>
          <w:bCs/>
          <w:i/>
          <w:iCs/>
        </w:rPr>
      </w:pPr>
      <w:r w:rsidRPr="008D1FE1">
        <w:rPr>
          <w:rFonts w:ascii="Times New Roman" w:eastAsiaTheme="minorEastAsia" w:hAnsi="Times New Roman" w:cs="Times New Roman"/>
          <w:b/>
          <w:bCs/>
          <w:i/>
          <w:iCs/>
        </w:rPr>
        <w:t xml:space="preserve">Proposal 2: when UE doesn’t support parallel L3 measurements on serving cell and intra-frequency cells, for time-critical neighbor cell measurement requirements, it can be up to UE implementation on when to start the detection, </w:t>
      </w:r>
      <w:proofErr w:type="gramStart"/>
      <w:r w:rsidRPr="008D1FE1">
        <w:rPr>
          <w:rFonts w:ascii="Times New Roman" w:eastAsiaTheme="minorEastAsia" w:hAnsi="Times New Roman" w:cs="Times New Roman"/>
          <w:b/>
          <w:bCs/>
          <w:i/>
          <w:iCs/>
        </w:rPr>
        <w:t>measurement</w:t>
      </w:r>
      <w:proofErr w:type="gramEnd"/>
      <w:r w:rsidRPr="008D1FE1">
        <w:rPr>
          <w:rFonts w:ascii="Times New Roman" w:eastAsiaTheme="minorEastAsia" w:hAnsi="Times New Roman" w:cs="Times New Roman"/>
          <w:b/>
          <w:bCs/>
          <w:i/>
          <w:iCs/>
        </w:rPr>
        <w:t xml:space="preserve"> and evaluation on </w:t>
      </w:r>
      <w:proofErr w:type="spellStart"/>
      <w:r w:rsidRPr="008D1FE1">
        <w:rPr>
          <w:rFonts w:ascii="Times New Roman" w:eastAsiaTheme="minorEastAsia" w:hAnsi="Times New Roman" w:cs="Times New Roman"/>
          <w:b/>
          <w:bCs/>
          <w:i/>
          <w:iCs/>
        </w:rPr>
        <w:t>neighbour</w:t>
      </w:r>
      <w:proofErr w:type="spellEnd"/>
      <w:r w:rsidRPr="008D1FE1">
        <w:rPr>
          <w:rFonts w:ascii="Times New Roman" w:eastAsiaTheme="minorEastAsia" w:hAnsi="Times New Roman" w:cs="Times New Roman"/>
          <w:b/>
          <w:bCs/>
          <w:i/>
          <w:iCs/>
        </w:rPr>
        <w:t xml:space="preserve"> cells as long as UE can meet the reselection requirement with </w:t>
      </w:r>
      <w:proofErr w:type="spellStart"/>
      <w:r w:rsidRPr="008D1FE1">
        <w:rPr>
          <w:rFonts w:ascii="Times New Roman" w:hAnsi="Times New Roman" w:cs="Times New Roman"/>
          <w:b/>
          <w:bCs/>
          <w:i/>
          <w:iCs/>
        </w:rPr>
        <w:t>T</w:t>
      </w:r>
      <w:r w:rsidRPr="008D1FE1">
        <w:rPr>
          <w:rFonts w:ascii="Times New Roman" w:hAnsi="Times New Roman" w:cs="Times New Roman"/>
          <w:b/>
          <w:bCs/>
          <w:i/>
          <w:iCs/>
          <w:vertAlign w:val="subscript"/>
        </w:rPr>
        <w:t>trigger</w:t>
      </w:r>
      <w:proofErr w:type="spellEnd"/>
      <w:r w:rsidRPr="008D1FE1">
        <w:rPr>
          <w:rFonts w:ascii="Times New Roman" w:hAnsi="Times New Roman" w:cs="Times New Roman"/>
          <w:b/>
          <w:bCs/>
          <w:i/>
          <w:iCs/>
        </w:rPr>
        <w:t>.</w:t>
      </w:r>
    </w:p>
    <w:p w14:paraId="2D5A056A" w14:textId="77777777" w:rsidR="001B32AF" w:rsidRDefault="001B32AF" w:rsidP="001B32AF">
      <w:pPr>
        <w:jc w:val="both"/>
        <w:rPr>
          <w:rFonts w:eastAsiaTheme="minorEastAsia"/>
          <w:b/>
          <w:bCs/>
          <w:i/>
          <w:iCs/>
        </w:rPr>
      </w:pPr>
      <w:r w:rsidRPr="00A53A82">
        <w:rPr>
          <w:rFonts w:eastAsiaTheme="minorEastAsia"/>
          <w:b/>
          <w:bCs/>
          <w:i/>
          <w:iCs/>
        </w:rPr>
        <w:t xml:space="preserve">Proposal 3: expand existing applicability definition in IDLE/Inactive requirement to cover the SMTC collision after shifting, i.e., the requirements in IDLE/Inactive apply provided that SSB of </w:t>
      </w:r>
      <w:proofErr w:type="spellStart"/>
      <w:r w:rsidRPr="00A53A82">
        <w:rPr>
          <w:rFonts w:eastAsiaTheme="minorEastAsia"/>
          <w:b/>
          <w:bCs/>
          <w:i/>
          <w:iCs/>
        </w:rPr>
        <w:t>neighbour</w:t>
      </w:r>
      <w:proofErr w:type="spellEnd"/>
      <w:r w:rsidRPr="00A53A82">
        <w:rPr>
          <w:rFonts w:eastAsiaTheme="minorEastAsia"/>
          <w:b/>
          <w:bCs/>
          <w:i/>
          <w:iCs/>
        </w:rPr>
        <w:t xml:space="preserve"> cells are within the time shifted SMTC, and this SMTC after time shifting is not collided with other SMTC occasion(s).</w:t>
      </w:r>
    </w:p>
    <w:p w14:paraId="7AE9B8D9" w14:textId="77777777" w:rsidR="001B32AF" w:rsidRDefault="001B32AF" w:rsidP="001B32AF">
      <w:pPr>
        <w:jc w:val="both"/>
        <w:rPr>
          <w:rFonts w:eastAsiaTheme="minorEastAsia"/>
          <w:b/>
          <w:bCs/>
          <w:i/>
          <w:iCs/>
        </w:rPr>
      </w:pPr>
      <w:r w:rsidRPr="0019237E">
        <w:rPr>
          <w:rFonts w:eastAsiaTheme="minorEastAsia"/>
          <w:b/>
          <w:bCs/>
          <w:i/>
          <w:iCs/>
        </w:rPr>
        <w:t>Observation: it would be desirable if the association between satellites and SMTC configuration can be provided to UE to facilitate the dynamic SMTC shifting based on satellite moving.</w:t>
      </w:r>
    </w:p>
    <w:p w14:paraId="5E014AE5" w14:textId="77777777" w:rsidR="001B32AF" w:rsidRDefault="001B32AF" w:rsidP="001B32AF">
      <w:pPr>
        <w:spacing w:after="0"/>
        <w:jc w:val="both"/>
        <w:rPr>
          <w:rFonts w:eastAsiaTheme="minorEastAsia"/>
          <w:b/>
          <w:bCs/>
          <w:i/>
          <w:iCs/>
        </w:rPr>
      </w:pPr>
      <w:r w:rsidRPr="001B32AF">
        <w:rPr>
          <w:rFonts w:eastAsiaTheme="minorEastAsia"/>
          <w:b/>
          <w:bCs/>
          <w:i/>
          <w:iCs/>
        </w:rPr>
        <w:t xml:space="preserve">Proposal 4: </w:t>
      </w:r>
    </w:p>
    <w:p w14:paraId="72A311F9" w14:textId="77777777" w:rsidR="001B32AF" w:rsidRDefault="001B32AF" w:rsidP="001B32AF">
      <w:pPr>
        <w:spacing w:after="0"/>
        <w:jc w:val="both"/>
        <w:rPr>
          <w:rFonts w:eastAsiaTheme="minorEastAsia"/>
          <w:b/>
          <w:bCs/>
          <w:i/>
          <w:iCs/>
        </w:rPr>
      </w:pPr>
      <w:r w:rsidRPr="001B32AF">
        <w:rPr>
          <w:rFonts w:eastAsiaTheme="minorEastAsia"/>
          <w:b/>
          <w:bCs/>
          <w:i/>
          <w:iCs/>
        </w:rPr>
        <w:t>RAN4 to discuss the issue that:</w:t>
      </w:r>
      <w:r>
        <w:rPr>
          <w:rFonts w:eastAsiaTheme="minorEastAsia"/>
          <w:b/>
          <w:bCs/>
          <w:i/>
          <w:iCs/>
        </w:rPr>
        <w:t xml:space="preserve"> in IDLE/Inactive mode, </w:t>
      </w:r>
      <w:r w:rsidRPr="001B32AF">
        <w:rPr>
          <w:rFonts w:eastAsiaTheme="minorEastAsia"/>
          <w:b/>
          <w:bCs/>
          <w:i/>
          <w:iCs/>
        </w:rPr>
        <w:t>when multiple satellites are deployed with same SMTC configuration, which satellite(s) shall UE follow to adjust the SMTC</w:t>
      </w:r>
      <w:r>
        <w:rPr>
          <w:rFonts w:eastAsiaTheme="minorEastAsia"/>
          <w:b/>
          <w:bCs/>
          <w:i/>
          <w:iCs/>
        </w:rPr>
        <w:t>.</w:t>
      </w:r>
    </w:p>
    <w:p w14:paraId="74F5750A" w14:textId="77777777" w:rsidR="001B32AF" w:rsidRPr="001B32AF" w:rsidRDefault="001B32AF" w:rsidP="001B32AF">
      <w:pPr>
        <w:pStyle w:val="ListParagraph"/>
        <w:numPr>
          <w:ilvl w:val="0"/>
          <w:numId w:val="34"/>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t>Alt1: up to UE implementation and no requirement shall be defined to associate satellite with SMTC adjustment.</w:t>
      </w:r>
    </w:p>
    <w:p w14:paraId="79D7B7C6" w14:textId="01CEED77" w:rsidR="009929A0" w:rsidRPr="001B32AF" w:rsidRDefault="001B32AF" w:rsidP="00230AE9">
      <w:pPr>
        <w:pStyle w:val="ListParagraph"/>
        <w:numPr>
          <w:ilvl w:val="0"/>
          <w:numId w:val="34"/>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t>Alt2: send LS to RAN2 to ask for their clarification.</w:t>
      </w:r>
    </w:p>
    <w:p w14:paraId="5C32F4BB" w14:textId="57BB2973"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50787F05" w:rsidR="00110BFA" w:rsidRDefault="00A74337" w:rsidP="00A74337">
      <w:r>
        <w:t xml:space="preserve">[1] </w:t>
      </w:r>
      <w:r w:rsidR="00CF233A" w:rsidRPr="00CF233A">
        <w:t>R4-2</w:t>
      </w:r>
      <w:r w:rsidR="00910F2F">
        <w:t>303147</w:t>
      </w:r>
      <w:r w:rsidR="00CF233A">
        <w:t xml:space="preserve">, </w:t>
      </w:r>
      <w:r w:rsidR="00910F2F" w:rsidRPr="00910F2F">
        <w:t>WF on Rel-17 NR NTN RRM Performance requirements</w:t>
      </w:r>
      <w:r>
        <w:t xml:space="preserve">, </w:t>
      </w:r>
      <w:r w:rsidR="00910F2F" w:rsidRPr="00910F2F">
        <w:t>Xiaomi</w:t>
      </w:r>
      <w:r>
        <w:t>, RAN</w:t>
      </w:r>
      <w:r w:rsidR="00BE6FAD">
        <w:t>4 #10</w:t>
      </w:r>
      <w:r w:rsidR="00910F2F">
        <w:t>6</w:t>
      </w:r>
      <w:r w:rsidR="00657845">
        <w:t>.</w:t>
      </w:r>
    </w:p>
    <w:p w14:paraId="1A4412BA" w14:textId="77777777" w:rsidR="00232164" w:rsidRPr="005A1E0E" w:rsidRDefault="00232164" w:rsidP="00A74337"/>
    <w:sectPr w:rsidR="00232164"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9D15F" w14:textId="77777777" w:rsidR="004B3C11" w:rsidRDefault="004B3C11">
      <w:r>
        <w:separator/>
      </w:r>
    </w:p>
  </w:endnote>
  <w:endnote w:type="continuationSeparator" w:id="0">
    <w:p w14:paraId="39B6A286" w14:textId="77777777" w:rsidR="004B3C11" w:rsidRDefault="004B3C11">
      <w:r>
        <w:continuationSeparator/>
      </w:r>
    </w:p>
  </w:endnote>
  <w:endnote w:type="continuationNotice" w:id="1">
    <w:p w14:paraId="5B4280D1" w14:textId="77777777" w:rsidR="004B3C11" w:rsidRDefault="004B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2E8CF" w14:textId="77777777" w:rsidR="004B3C11" w:rsidRDefault="004B3C11">
      <w:r>
        <w:separator/>
      </w:r>
    </w:p>
  </w:footnote>
  <w:footnote w:type="continuationSeparator" w:id="0">
    <w:p w14:paraId="237C2B53" w14:textId="77777777" w:rsidR="004B3C11" w:rsidRDefault="004B3C11">
      <w:r>
        <w:continuationSeparator/>
      </w:r>
    </w:p>
  </w:footnote>
  <w:footnote w:type="continuationNotice" w:id="1">
    <w:p w14:paraId="4F4D42C6" w14:textId="77777777" w:rsidR="004B3C11" w:rsidRDefault="004B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A01C4"/>
    <w:multiLevelType w:val="hybridMultilevel"/>
    <w:tmpl w:val="28AA4D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425873"/>
    <w:multiLevelType w:val="hybridMultilevel"/>
    <w:tmpl w:val="2626E540"/>
    <w:lvl w:ilvl="0" w:tplc="F95CD7D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B5E22"/>
    <w:multiLevelType w:val="hybridMultilevel"/>
    <w:tmpl w:val="28AA4D9A"/>
    <w:lvl w:ilvl="0" w:tplc="783AC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B097FDB"/>
    <w:multiLevelType w:val="hybridMultilevel"/>
    <w:tmpl w:val="F6B882AA"/>
    <w:lvl w:ilvl="0" w:tplc="71761F6A">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C242AE"/>
    <w:multiLevelType w:val="hybridMultilevel"/>
    <w:tmpl w:val="892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81B6C"/>
    <w:multiLevelType w:val="hybridMultilevel"/>
    <w:tmpl w:val="853CB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62E65"/>
    <w:multiLevelType w:val="multilevel"/>
    <w:tmpl w:val="42E85042"/>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13574D4"/>
    <w:multiLevelType w:val="hybridMultilevel"/>
    <w:tmpl w:val="942852A0"/>
    <w:lvl w:ilvl="0" w:tplc="430EDE86">
      <w:start w:val="1"/>
      <w:numFmt w:val="bullet"/>
      <w:lvlText w:val="•"/>
      <w:lvlJc w:val="left"/>
      <w:pPr>
        <w:tabs>
          <w:tab w:val="num" w:pos="720"/>
        </w:tabs>
        <w:ind w:left="720" w:hanging="360"/>
      </w:pPr>
      <w:rPr>
        <w:rFonts w:ascii="Arial" w:hAnsi="Arial" w:hint="default"/>
      </w:rPr>
    </w:lvl>
    <w:lvl w:ilvl="1" w:tplc="766EC612">
      <w:numFmt w:val="bullet"/>
      <w:lvlText w:val="–"/>
      <w:lvlJc w:val="left"/>
      <w:pPr>
        <w:tabs>
          <w:tab w:val="num" w:pos="1440"/>
        </w:tabs>
        <w:ind w:left="1440" w:hanging="360"/>
      </w:pPr>
      <w:rPr>
        <w:rFonts w:ascii="Arial" w:hAnsi="Arial" w:hint="default"/>
      </w:rPr>
    </w:lvl>
    <w:lvl w:ilvl="2" w:tplc="56D47FF8" w:tentative="1">
      <w:start w:val="1"/>
      <w:numFmt w:val="bullet"/>
      <w:lvlText w:val="•"/>
      <w:lvlJc w:val="left"/>
      <w:pPr>
        <w:tabs>
          <w:tab w:val="num" w:pos="2160"/>
        </w:tabs>
        <w:ind w:left="2160" w:hanging="360"/>
      </w:pPr>
      <w:rPr>
        <w:rFonts w:ascii="Arial" w:hAnsi="Arial" w:hint="default"/>
      </w:rPr>
    </w:lvl>
    <w:lvl w:ilvl="3" w:tplc="AA88C6EE" w:tentative="1">
      <w:start w:val="1"/>
      <w:numFmt w:val="bullet"/>
      <w:lvlText w:val="•"/>
      <w:lvlJc w:val="left"/>
      <w:pPr>
        <w:tabs>
          <w:tab w:val="num" w:pos="2880"/>
        </w:tabs>
        <w:ind w:left="2880" w:hanging="360"/>
      </w:pPr>
      <w:rPr>
        <w:rFonts w:ascii="Arial" w:hAnsi="Arial" w:hint="default"/>
      </w:rPr>
    </w:lvl>
    <w:lvl w:ilvl="4" w:tplc="26029270" w:tentative="1">
      <w:start w:val="1"/>
      <w:numFmt w:val="bullet"/>
      <w:lvlText w:val="•"/>
      <w:lvlJc w:val="left"/>
      <w:pPr>
        <w:tabs>
          <w:tab w:val="num" w:pos="3600"/>
        </w:tabs>
        <w:ind w:left="3600" w:hanging="360"/>
      </w:pPr>
      <w:rPr>
        <w:rFonts w:ascii="Arial" w:hAnsi="Arial" w:hint="default"/>
      </w:rPr>
    </w:lvl>
    <w:lvl w:ilvl="5" w:tplc="649062AA" w:tentative="1">
      <w:start w:val="1"/>
      <w:numFmt w:val="bullet"/>
      <w:lvlText w:val="•"/>
      <w:lvlJc w:val="left"/>
      <w:pPr>
        <w:tabs>
          <w:tab w:val="num" w:pos="4320"/>
        </w:tabs>
        <w:ind w:left="4320" w:hanging="360"/>
      </w:pPr>
      <w:rPr>
        <w:rFonts w:ascii="Arial" w:hAnsi="Arial" w:hint="default"/>
      </w:rPr>
    </w:lvl>
    <w:lvl w:ilvl="6" w:tplc="7E726892" w:tentative="1">
      <w:start w:val="1"/>
      <w:numFmt w:val="bullet"/>
      <w:lvlText w:val="•"/>
      <w:lvlJc w:val="left"/>
      <w:pPr>
        <w:tabs>
          <w:tab w:val="num" w:pos="5040"/>
        </w:tabs>
        <w:ind w:left="5040" w:hanging="360"/>
      </w:pPr>
      <w:rPr>
        <w:rFonts w:ascii="Arial" w:hAnsi="Arial" w:hint="default"/>
      </w:rPr>
    </w:lvl>
    <w:lvl w:ilvl="7" w:tplc="0D8E611A" w:tentative="1">
      <w:start w:val="1"/>
      <w:numFmt w:val="bullet"/>
      <w:lvlText w:val="•"/>
      <w:lvlJc w:val="left"/>
      <w:pPr>
        <w:tabs>
          <w:tab w:val="num" w:pos="5760"/>
        </w:tabs>
        <w:ind w:left="5760" w:hanging="360"/>
      </w:pPr>
      <w:rPr>
        <w:rFonts w:ascii="Arial" w:hAnsi="Arial" w:hint="default"/>
      </w:rPr>
    </w:lvl>
    <w:lvl w:ilvl="8" w:tplc="9D3EE0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A160F9"/>
    <w:multiLevelType w:val="hybridMultilevel"/>
    <w:tmpl w:val="E8D8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7A54FC"/>
    <w:multiLevelType w:val="hybridMultilevel"/>
    <w:tmpl w:val="28AA4D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6F030EF4"/>
    <w:multiLevelType w:val="hybridMultilevel"/>
    <w:tmpl w:val="A4B4135C"/>
    <w:lvl w:ilvl="0" w:tplc="D3805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58668BE"/>
    <w:multiLevelType w:val="hybridMultilevel"/>
    <w:tmpl w:val="F3C6B93C"/>
    <w:lvl w:ilvl="0" w:tplc="815AE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B43535"/>
    <w:multiLevelType w:val="hybridMultilevel"/>
    <w:tmpl w:val="85D25E34"/>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4E26ED"/>
    <w:multiLevelType w:val="multilevel"/>
    <w:tmpl w:val="0402375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7"/>
  </w:num>
  <w:num w:numId="5" w16cid:durableId="19949176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4"/>
  </w:num>
  <w:num w:numId="8" w16cid:durableId="66853061">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3"/>
  </w:num>
  <w:num w:numId="11" w16cid:durableId="658192778">
    <w:abstractNumId w:val="23"/>
  </w:num>
  <w:num w:numId="12" w16cid:durableId="1114210267">
    <w:abstractNumId w:val="11"/>
  </w:num>
  <w:num w:numId="13" w16cid:durableId="240525661">
    <w:abstractNumId w:val="17"/>
  </w:num>
  <w:num w:numId="14" w16cid:durableId="952903869">
    <w:abstractNumId w:val="28"/>
  </w:num>
  <w:num w:numId="15" w16cid:durableId="341396769">
    <w:abstractNumId w:val="1"/>
  </w:num>
  <w:num w:numId="16" w16cid:durableId="2025865295">
    <w:abstractNumId w:val="20"/>
  </w:num>
  <w:num w:numId="17" w16cid:durableId="705259572">
    <w:abstractNumId w:val="29"/>
  </w:num>
  <w:num w:numId="18" w16cid:durableId="778790933">
    <w:abstractNumId w:val="24"/>
  </w:num>
  <w:num w:numId="19" w16cid:durableId="946694375">
    <w:abstractNumId w:val="9"/>
  </w:num>
  <w:num w:numId="20" w16cid:durableId="1006635544">
    <w:abstractNumId w:val="15"/>
  </w:num>
  <w:num w:numId="21" w16cid:durableId="2030984636">
    <w:abstractNumId w:val="8"/>
  </w:num>
  <w:num w:numId="22" w16cid:durableId="1202983342">
    <w:abstractNumId w:val="18"/>
  </w:num>
  <w:num w:numId="23" w16cid:durableId="658117247">
    <w:abstractNumId w:val="12"/>
  </w:num>
  <w:num w:numId="24" w16cid:durableId="490101896">
    <w:abstractNumId w:val="22"/>
  </w:num>
  <w:num w:numId="25" w16cid:durableId="8601207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12991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642232">
    <w:abstractNumId w:val="16"/>
  </w:num>
  <w:num w:numId="28" w16cid:durableId="1560483806">
    <w:abstractNumId w:val="10"/>
  </w:num>
  <w:num w:numId="29" w16cid:durableId="488055431">
    <w:abstractNumId w:val="7"/>
  </w:num>
  <w:num w:numId="30" w16cid:durableId="1752386734">
    <w:abstractNumId w:val="5"/>
  </w:num>
  <w:num w:numId="31" w16cid:durableId="400829309">
    <w:abstractNumId w:val="19"/>
  </w:num>
  <w:num w:numId="32" w16cid:durableId="1716465179">
    <w:abstractNumId w:val="6"/>
  </w:num>
  <w:num w:numId="33" w16cid:durableId="77136663">
    <w:abstractNumId w:val="25"/>
  </w:num>
  <w:num w:numId="34" w16cid:durableId="14308693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033"/>
    <w:rsid w:val="000301DB"/>
    <w:rsid w:val="0003026B"/>
    <w:rsid w:val="000302CC"/>
    <w:rsid w:val="00030CC9"/>
    <w:rsid w:val="00030F95"/>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1BC1"/>
    <w:rsid w:val="00071C01"/>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31C4"/>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D7F97"/>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F19"/>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7B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4C6C"/>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694E"/>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289"/>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F11"/>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89"/>
    <w:rsid w:val="001725B6"/>
    <w:rsid w:val="00172D27"/>
    <w:rsid w:val="001731CF"/>
    <w:rsid w:val="001753FA"/>
    <w:rsid w:val="0017552B"/>
    <w:rsid w:val="001759D9"/>
    <w:rsid w:val="00175AB3"/>
    <w:rsid w:val="00175D68"/>
    <w:rsid w:val="0017788B"/>
    <w:rsid w:val="00177E2C"/>
    <w:rsid w:val="00180054"/>
    <w:rsid w:val="001800EC"/>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237E"/>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2AF"/>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17667"/>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0AE9"/>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70E"/>
    <w:rsid w:val="00255AFA"/>
    <w:rsid w:val="00255EAD"/>
    <w:rsid w:val="0026077C"/>
    <w:rsid w:val="00260AE6"/>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8F"/>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699"/>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575"/>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0E3B"/>
    <w:rsid w:val="003B107F"/>
    <w:rsid w:val="003B1940"/>
    <w:rsid w:val="003B2462"/>
    <w:rsid w:val="003B246F"/>
    <w:rsid w:val="003B2726"/>
    <w:rsid w:val="003B3E7E"/>
    <w:rsid w:val="003B5CAB"/>
    <w:rsid w:val="003B7066"/>
    <w:rsid w:val="003B78AC"/>
    <w:rsid w:val="003B7EC1"/>
    <w:rsid w:val="003C0024"/>
    <w:rsid w:val="003C00A2"/>
    <w:rsid w:val="003C0A81"/>
    <w:rsid w:val="003C1CCC"/>
    <w:rsid w:val="003C2043"/>
    <w:rsid w:val="003C2250"/>
    <w:rsid w:val="003C4463"/>
    <w:rsid w:val="003C4A05"/>
    <w:rsid w:val="003C4CAB"/>
    <w:rsid w:val="003C57A5"/>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05AE"/>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098"/>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87F8C"/>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56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3C11"/>
    <w:rsid w:val="004B4262"/>
    <w:rsid w:val="004B4F5F"/>
    <w:rsid w:val="004B5283"/>
    <w:rsid w:val="004B686B"/>
    <w:rsid w:val="004B6B97"/>
    <w:rsid w:val="004B6DE2"/>
    <w:rsid w:val="004B7524"/>
    <w:rsid w:val="004B7D82"/>
    <w:rsid w:val="004C00A5"/>
    <w:rsid w:val="004C04DF"/>
    <w:rsid w:val="004C094C"/>
    <w:rsid w:val="004C0C33"/>
    <w:rsid w:val="004C0D4F"/>
    <w:rsid w:val="004C10C0"/>
    <w:rsid w:val="004C3603"/>
    <w:rsid w:val="004C41DC"/>
    <w:rsid w:val="004C48D3"/>
    <w:rsid w:val="004C74E9"/>
    <w:rsid w:val="004C7DD1"/>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8FF"/>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3FC"/>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4D96"/>
    <w:rsid w:val="005450E0"/>
    <w:rsid w:val="005458D3"/>
    <w:rsid w:val="00546324"/>
    <w:rsid w:val="005464A2"/>
    <w:rsid w:val="00547009"/>
    <w:rsid w:val="0054753C"/>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57F7"/>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452"/>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FC7"/>
    <w:rsid w:val="005D595E"/>
    <w:rsid w:val="005D64E5"/>
    <w:rsid w:val="005D6722"/>
    <w:rsid w:val="005D796F"/>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1D0"/>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13C"/>
    <w:rsid w:val="0061540B"/>
    <w:rsid w:val="006158AC"/>
    <w:rsid w:val="006161D6"/>
    <w:rsid w:val="006167FE"/>
    <w:rsid w:val="00617428"/>
    <w:rsid w:val="00620368"/>
    <w:rsid w:val="00622220"/>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D9A"/>
    <w:rsid w:val="00646584"/>
    <w:rsid w:val="00646CD3"/>
    <w:rsid w:val="006476FB"/>
    <w:rsid w:val="00650714"/>
    <w:rsid w:val="00651ADE"/>
    <w:rsid w:val="00651B8F"/>
    <w:rsid w:val="00651CF2"/>
    <w:rsid w:val="00651E3F"/>
    <w:rsid w:val="00651EA5"/>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3E4A"/>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47F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796"/>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0BC"/>
    <w:rsid w:val="0073452C"/>
    <w:rsid w:val="0073469E"/>
    <w:rsid w:val="00734B9B"/>
    <w:rsid w:val="00735712"/>
    <w:rsid w:val="007358EB"/>
    <w:rsid w:val="00735E8B"/>
    <w:rsid w:val="00735F06"/>
    <w:rsid w:val="007362E8"/>
    <w:rsid w:val="0073684D"/>
    <w:rsid w:val="00736A7B"/>
    <w:rsid w:val="00736C6F"/>
    <w:rsid w:val="00737BB1"/>
    <w:rsid w:val="007402F1"/>
    <w:rsid w:val="0074107A"/>
    <w:rsid w:val="007416D2"/>
    <w:rsid w:val="00741C06"/>
    <w:rsid w:val="00743D37"/>
    <w:rsid w:val="00743F78"/>
    <w:rsid w:val="0074402B"/>
    <w:rsid w:val="00744C1F"/>
    <w:rsid w:val="007456A3"/>
    <w:rsid w:val="00745705"/>
    <w:rsid w:val="00745CF6"/>
    <w:rsid w:val="007465BA"/>
    <w:rsid w:val="00747701"/>
    <w:rsid w:val="00751C78"/>
    <w:rsid w:val="00751E10"/>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2E47"/>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7F7567"/>
    <w:rsid w:val="008006D6"/>
    <w:rsid w:val="008007CD"/>
    <w:rsid w:val="00801062"/>
    <w:rsid w:val="00801150"/>
    <w:rsid w:val="00801B3A"/>
    <w:rsid w:val="00801BDC"/>
    <w:rsid w:val="00801CE9"/>
    <w:rsid w:val="008027B7"/>
    <w:rsid w:val="008029AF"/>
    <w:rsid w:val="00802FFF"/>
    <w:rsid w:val="008040C0"/>
    <w:rsid w:val="00804792"/>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26"/>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50F"/>
    <w:rsid w:val="00887FA8"/>
    <w:rsid w:val="0089104A"/>
    <w:rsid w:val="008935AB"/>
    <w:rsid w:val="00894253"/>
    <w:rsid w:val="00894A50"/>
    <w:rsid w:val="008950B4"/>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1AE8"/>
    <w:rsid w:val="008B20FD"/>
    <w:rsid w:val="008B2281"/>
    <w:rsid w:val="008B2DE0"/>
    <w:rsid w:val="008B2E81"/>
    <w:rsid w:val="008B41B3"/>
    <w:rsid w:val="008B461C"/>
    <w:rsid w:val="008B4F34"/>
    <w:rsid w:val="008B595F"/>
    <w:rsid w:val="008B5EB2"/>
    <w:rsid w:val="008B6469"/>
    <w:rsid w:val="008B695B"/>
    <w:rsid w:val="008B7FEE"/>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1FE1"/>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2F6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0F2F"/>
    <w:rsid w:val="00911055"/>
    <w:rsid w:val="00911559"/>
    <w:rsid w:val="00911E0D"/>
    <w:rsid w:val="0091221D"/>
    <w:rsid w:val="00912641"/>
    <w:rsid w:val="00913ED6"/>
    <w:rsid w:val="009156E7"/>
    <w:rsid w:val="009168DE"/>
    <w:rsid w:val="00921225"/>
    <w:rsid w:val="00921C43"/>
    <w:rsid w:val="0092251F"/>
    <w:rsid w:val="009236DA"/>
    <w:rsid w:val="00923A06"/>
    <w:rsid w:val="00924A1A"/>
    <w:rsid w:val="009259E6"/>
    <w:rsid w:val="00926483"/>
    <w:rsid w:val="00927186"/>
    <w:rsid w:val="00930624"/>
    <w:rsid w:val="00931141"/>
    <w:rsid w:val="009312F2"/>
    <w:rsid w:val="00931573"/>
    <w:rsid w:val="00931E76"/>
    <w:rsid w:val="00931FC0"/>
    <w:rsid w:val="0093210B"/>
    <w:rsid w:val="00933A0E"/>
    <w:rsid w:val="00933EA7"/>
    <w:rsid w:val="009341B7"/>
    <w:rsid w:val="009362A9"/>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0969"/>
    <w:rsid w:val="00983E32"/>
    <w:rsid w:val="00983F05"/>
    <w:rsid w:val="00983F47"/>
    <w:rsid w:val="009842DA"/>
    <w:rsid w:val="009849C3"/>
    <w:rsid w:val="009851D9"/>
    <w:rsid w:val="00986177"/>
    <w:rsid w:val="0098673B"/>
    <w:rsid w:val="009868EA"/>
    <w:rsid w:val="009871D6"/>
    <w:rsid w:val="0098725E"/>
    <w:rsid w:val="009873E6"/>
    <w:rsid w:val="00987489"/>
    <w:rsid w:val="009901C2"/>
    <w:rsid w:val="00991D3F"/>
    <w:rsid w:val="0099263F"/>
    <w:rsid w:val="009929A0"/>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CCF"/>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2CA5"/>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3A82"/>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77DE1"/>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2881"/>
    <w:rsid w:val="00AC3991"/>
    <w:rsid w:val="00AC49CD"/>
    <w:rsid w:val="00AC4A04"/>
    <w:rsid w:val="00AC5600"/>
    <w:rsid w:val="00AC5C52"/>
    <w:rsid w:val="00AC5CD8"/>
    <w:rsid w:val="00AC7546"/>
    <w:rsid w:val="00AC7DF8"/>
    <w:rsid w:val="00AC7F78"/>
    <w:rsid w:val="00AD004E"/>
    <w:rsid w:val="00AD044C"/>
    <w:rsid w:val="00AD0869"/>
    <w:rsid w:val="00AD19DE"/>
    <w:rsid w:val="00AD1FE5"/>
    <w:rsid w:val="00AD20C4"/>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841"/>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4B02"/>
    <w:rsid w:val="00B57A45"/>
    <w:rsid w:val="00B60057"/>
    <w:rsid w:val="00B600AC"/>
    <w:rsid w:val="00B60A77"/>
    <w:rsid w:val="00B61E48"/>
    <w:rsid w:val="00B62E85"/>
    <w:rsid w:val="00B63DEC"/>
    <w:rsid w:val="00B64047"/>
    <w:rsid w:val="00B7074B"/>
    <w:rsid w:val="00B70AB6"/>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6C6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1C00"/>
    <w:rsid w:val="00BA401A"/>
    <w:rsid w:val="00BA4CAD"/>
    <w:rsid w:val="00BA4E4D"/>
    <w:rsid w:val="00BA5438"/>
    <w:rsid w:val="00BA5963"/>
    <w:rsid w:val="00BA6849"/>
    <w:rsid w:val="00BA6B5B"/>
    <w:rsid w:val="00BA7DB9"/>
    <w:rsid w:val="00BB0253"/>
    <w:rsid w:val="00BB0B4D"/>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0BC"/>
    <w:rsid w:val="00BC14BD"/>
    <w:rsid w:val="00BC159D"/>
    <w:rsid w:val="00BC2429"/>
    <w:rsid w:val="00BC33DB"/>
    <w:rsid w:val="00BC3AEF"/>
    <w:rsid w:val="00BC3BBB"/>
    <w:rsid w:val="00BC4566"/>
    <w:rsid w:val="00BC6948"/>
    <w:rsid w:val="00BC6DAA"/>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667"/>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48A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6A71"/>
    <w:rsid w:val="00C177A7"/>
    <w:rsid w:val="00C21B81"/>
    <w:rsid w:val="00C21FA8"/>
    <w:rsid w:val="00C222BD"/>
    <w:rsid w:val="00C22EF0"/>
    <w:rsid w:val="00C23A86"/>
    <w:rsid w:val="00C23DE0"/>
    <w:rsid w:val="00C244FB"/>
    <w:rsid w:val="00C248AE"/>
    <w:rsid w:val="00C25736"/>
    <w:rsid w:val="00C25BCD"/>
    <w:rsid w:val="00C2635E"/>
    <w:rsid w:val="00C27E8B"/>
    <w:rsid w:val="00C27F3B"/>
    <w:rsid w:val="00C30887"/>
    <w:rsid w:val="00C30A8F"/>
    <w:rsid w:val="00C33190"/>
    <w:rsid w:val="00C33AAC"/>
    <w:rsid w:val="00C33CB5"/>
    <w:rsid w:val="00C33FBB"/>
    <w:rsid w:val="00C34106"/>
    <w:rsid w:val="00C34E41"/>
    <w:rsid w:val="00C3546E"/>
    <w:rsid w:val="00C35CFA"/>
    <w:rsid w:val="00C35E15"/>
    <w:rsid w:val="00C36618"/>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1"/>
    <w:rsid w:val="00C51C62"/>
    <w:rsid w:val="00C52064"/>
    <w:rsid w:val="00C525AA"/>
    <w:rsid w:val="00C52DC4"/>
    <w:rsid w:val="00C540FE"/>
    <w:rsid w:val="00C54AAD"/>
    <w:rsid w:val="00C553B1"/>
    <w:rsid w:val="00C553BE"/>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949"/>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B7BBE"/>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33A"/>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29C6"/>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0E3E"/>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7B9"/>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04D"/>
    <w:rsid w:val="00DA4887"/>
    <w:rsid w:val="00DA53B2"/>
    <w:rsid w:val="00DA5661"/>
    <w:rsid w:val="00DA5DEE"/>
    <w:rsid w:val="00DA650B"/>
    <w:rsid w:val="00DA6D1C"/>
    <w:rsid w:val="00DA70EA"/>
    <w:rsid w:val="00DA71FD"/>
    <w:rsid w:val="00DA7545"/>
    <w:rsid w:val="00DA7549"/>
    <w:rsid w:val="00DA79A9"/>
    <w:rsid w:val="00DA7CE5"/>
    <w:rsid w:val="00DA7E76"/>
    <w:rsid w:val="00DB0A59"/>
    <w:rsid w:val="00DB0C77"/>
    <w:rsid w:val="00DB266C"/>
    <w:rsid w:val="00DB42D1"/>
    <w:rsid w:val="00DB4796"/>
    <w:rsid w:val="00DB47BD"/>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A1B"/>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2CB"/>
    <w:rsid w:val="00E076E5"/>
    <w:rsid w:val="00E07CD5"/>
    <w:rsid w:val="00E126C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112"/>
    <w:rsid w:val="00E32160"/>
    <w:rsid w:val="00E3273E"/>
    <w:rsid w:val="00E32921"/>
    <w:rsid w:val="00E32B41"/>
    <w:rsid w:val="00E33020"/>
    <w:rsid w:val="00E33F90"/>
    <w:rsid w:val="00E3464C"/>
    <w:rsid w:val="00E35CD0"/>
    <w:rsid w:val="00E35D28"/>
    <w:rsid w:val="00E365AF"/>
    <w:rsid w:val="00E3685C"/>
    <w:rsid w:val="00E37075"/>
    <w:rsid w:val="00E3784B"/>
    <w:rsid w:val="00E4050B"/>
    <w:rsid w:val="00E4233B"/>
    <w:rsid w:val="00E42B9B"/>
    <w:rsid w:val="00E432C5"/>
    <w:rsid w:val="00E441A5"/>
    <w:rsid w:val="00E44659"/>
    <w:rsid w:val="00E44F2B"/>
    <w:rsid w:val="00E462A1"/>
    <w:rsid w:val="00E4677A"/>
    <w:rsid w:val="00E4796D"/>
    <w:rsid w:val="00E47CCB"/>
    <w:rsid w:val="00E50359"/>
    <w:rsid w:val="00E50622"/>
    <w:rsid w:val="00E50869"/>
    <w:rsid w:val="00E52644"/>
    <w:rsid w:val="00E533AD"/>
    <w:rsid w:val="00E53891"/>
    <w:rsid w:val="00E54002"/>
    <w:rsid w:val="00E541C9"/>
    <w:rsid w:val="00E54A8C"/>
    <w:rsid w:val="00E54DEC"/>
    <w:rsid w:val="00E55416"/>
    <w:rsid w:val="00E5542F"/>
    <w:rsid w:val="00E557C7"/>
    <w:rsid w:val="00E55E14"/>
    <w:rsid w:val="00E562BB"/>
    <w:rsid w:val="00E5708F"/>
    <w:rsid w:val="00E61DED"/>
    <w:rsid w:val="00E62127"/>
    <w:rsid w:val="00E62C29"/>
    <w:rsid w:val="00E64DAD"/>
    <w:rsid w:val="00E6594B"/>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F26"/>
    <w:rsid w:val="00EB7EBD"/>
    <w:rsid w:val="00EC00CB"/>
    <w:rsid w:val="00EC0262"/>
    <w:rsid w:val="00EC1967"/>
    <w:rsid w:val="00EC2C55"/>
    <w:rsid w:val="00EC3220"/>
    <w:rsid w:val="00EC339F"/>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41C"/>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4A9"/>
    <w:rsid w:val="00F7051A"/>
    <w:rsid w:val="00F7132D"/>
    <w:rsid w:val="00F71A92"/>
    <w:rsid w:val="00F7264F"/>
    <w:rsid w:val="00F7390F"/>
    <w:rsid w:val="00F7406D"/>
    <w:rsid w:val="00F74BD3"/>
    <w:rsid w:val="00F74CF3"/>
    <w:rsid w:val="00F75B1A"/>
    <w:rsid w:val="00F803F5"/>
    <w:rsid w:val="00F80686"/>
    <w:rsid w:val="00F80712"/>
    <w:rsid w:val="00F8114D"/>
    <w:rsid w:val="00F83748"/>
    <w:rsid w:val="00F842F8"/>
    <w:rsid w:val="00F849E2"/>
    <w:rsid w:val="00F84A38"/>
    <w:rsid w:val="00F84AB1"/>
    <w:rsid w:val="00F84BC6"/>
    <w:rsid w:val="00F8593B"/>
    <w:rsid w:val="00F85E9E"/>
    <w:rsid w:val="00F8634A"/>
    <w:rsid w:val="00F8688F"/>
    <w:rsid w:val="00F873F0"/>
    <w:rsid w:val="00F87CB0"/>
    <w:rsid w:val="00F906C7"/>
    <w:rsid w:val="00F90FD8"/>
    <w:rsid w:val="00F91CFF"/>
    <w:rsid w:val="00F92174"/>
    <w:rsid w:val="00F92359"/>
    <w:rsid w:val="00F925FF"/>
    <w:rsid w:val="00F92988"/>
    <w:rsid w:val="00F9577C"/>
    <w:rsid w:val="00F959B8"/>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5FF"/>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490"/>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3CD3"/>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C78"/>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tabs>
        <w:tab w:val="clear" w:pos="851"/>
      </w:tabs>
      <w:autoSpaceDE w:val="0"/>
      <w:autoSpaceDN w:val="0"/>
      <w:adjustRightInd w:val="0"/>
      <w:spacing w:before="60" w:after="60"/>
      <w:ind w:left="2204" w:hanging="3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rsid w:val="007D2E47"/>
    <w:rPr>
      <w:rFonts w:ascii="Times New Roman" w:eastAsia="Times New Roman" w:hAnsi="Times New Roman"/>
      <w:sz w:val="24"/>
      <w:szCs w:val="24"/>
    </w:rPr>
  </w:style>
  <w:style w:type="paragraph" w:customStyle="1" w:styleId="Comments">
    <w:name w:val="Comments"/>
    <w:basedOn w:val="Normal"/>
    <w:rsid w:val="00EC339F"/>
    <w:pPr>
      <w:spacing w:before="40" w:after="100" w:afterAutospacing="1"/>
    </w:pPr>
    <w:rPr>
      <w:rFonts w:ascii="Arial" w:eastAsia="MS Mincho" w:hAnsi="Arial"/>
      <w:i/>
      <w:sz w:val="18"/>
      <w:szCs w:val="18"/>
    </w:rPr>
  </w:style>
  <w:style w:type="character" w:customStyle="1" w:styleId="16">
    <w:name w:val="16"/>
    <w:basedOn w:val="DefaultParagraphFont"/>
    <w:rsid w:val="00EC339F"/>
    <w:rPr>
      <w:rFonts w:ascii="Malgun Gothic" w:eastAsia="Malgun Gothic" w:hAnsi="Malgun Gothic"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7097895">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5170509">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771480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84165">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8020689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411840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695023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9060739">
      <w:bodyDiv w:val="1"/>
      <w:marLeft w:val="0"/>
      <w:marRight w:val="0"/>
      <w:marTop w:val="0"/>
      <w:marBottom w:val="0"/>
      <w:divBdr>
        <w:top w:val="none" w:sz="0" w:space="0" w:color="auto"/>
        <w:left w:val="none" w:sz="0" w:space="0" w:color="auto"/>
        <w:bottom w:val="none" w:sz="0" w:space="0" w:color="auto"/>
        <w:right w:val="none" w:sz="0" w:space="0" w:color="auto"/>
      </w:divBdr>
      <w:divsChild>
        <w:div w:id="1652709007">
          <w:marLeft w:val="547"/>
          <w:marRight w:val="0"/>
          <w:marTop w:val="115"/>
          <w:marBottom w:val="0"/>
          <w:divBdr>
            <w:top w:val="none" w:sz="0" w:space="0" w:color="auto"/>
            <w:left w:val="none" w:sz="0" w:space="0" w:color="auto"/>
            <w:bottom w:val="none" w:sz="0" w:space="0" w:color="auto"/>
            <w:right w:val="none" w:sz="0" w:space="0" w:color="auto"/>
          </w:divBdr>
        </w:div>
        <w:div w:id="768046513">
          <w:marLeft w:val="1166"/>
          <w:marRight w:val="0"/>
          <w:marTop w:val="101"/>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249616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3183500">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3275317">
      <w:bodyDiv w:val="1"/>
      <w:marLeft w:val="0"/>
      <w:marRight w:val="0"/>
      <w:marTop w:val="0"/>
      <w:marBottom w:val="0"/>
      <w:divBdr>
        <w:top w:val="none" w:sz="0" w:space="0" w:color="auto"/>
        <w:left w:val="none" w:sz="0" w:space="0" w:color="auto"/>
        <w:bottom w:val="none" w:sz="0" w:space="0" w:color="auto"/>
        <w:right w:val="none" w:sz="0" w:space="0" w:color="auto"/>
      </w:divBdr>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6885316">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427403">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875394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77918968">
      <w:bodyDiv w:val="1"/>
      <w:marLeft w:val="0"/>
      <w:marRight w:val="0"/>
      <w:marTop w:val="0"/>
      <w:marBottom w:val="0"/>
      <w:divBdr>
        <w:top w:val="none" w:sz="0" w:space="0" w:color="auto"/>
        <w:left w:val="none" w:sz="0" w:space="0" w:color="auto"/>
        <w:bottom w:val="none" w:sz="0" w:space="0" w:color="auto"/>
        <w:right w:val="none" w:sz="0" w:space="0" w:color="auto"/>
      </w:divBdr>
    </w:div>
    <w:div w:id="1678343591">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4422767">
      <w:bodyDiv w:val="1"/>
      <w:marLeft w:val="0"/>
      <w:marRight w:val="0"/>
      <w:marTop w:val="0"/>
      <w:marBottom w:val="0"/>
      <w:divBdr>
        <w:top w:val="none" w:sz="0" w:space="0" w:color="auto"/>
        <w:left w:val="none" w:sz="0" w:space="0" w:color="auto"/>
        <w:bottom w:val="none" w:sz="0" w:space="0" w:color="auto"/>
        <w:right w:val="none" w:sz="0" w:space="0" w:color="auto"/>
      </w:divBdr>
    </w:div>
    <w:div w:id="177852277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1607798">
      <w:bodyDiv w:val="1"/>
      <w:marLeft w:val="0"/>
      <w:marRight w:val="0"/>
      <w:marTop w:val="0"/>
      <w:marBottom w:val="0"/>
      <w:divBdr>
        <w:top w:val="none" w:sz="0" w:space="0" w:color="auto"/>
        <w:left w:val="none" w:sz="0" w:space="0" w:color="auto"/>
        <w:bottom w:val="none" w:sz="0" w:space="0" w:color="auto"/>
        <w:right w:val="none" w:sz="0" w:space="0" w:color="auto"/>
      </w:divBdr>
    </w:div>
    <w:div w:id="190749390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702704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5</Pages>
  <Words>1714</Words>
  <Characters>9770</Characters>
  <Application>Microsoft Office Word</Application>
  <DocSecurity>0</DocSecurity>
  <Lines>81</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4</cp:revision>
  <cp:lastPrinted>2016-08-05T18:54:00Z</cp:lastPrinted>
  <dcterms:created xsi:type="dcterms:W3CDTF">2023-05-01T23:02:00Z</dcterms:created>
  <dcterms:modified xsi:type="dcterms:W3CDTF">2023-05-15T17:48:00Z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